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8133"/>
      </w:tblGrid>
      <w:tr>
        <w:trPr>
          <w:trHeight w:val="289"/>
        </w:trPr>
        <w:tc>
          <w:tcPr>
            <w:tcW w:w="7508" w:type="dxa"/>
          </w:tcPr>
          <w:p>
            <w:pPr>
              <w:ind w:right="-279"/>
              <w:jc w:val="center"/>
              <w:rPr>
                <w:rStyle w:val="Strong"/>
                <w:b w:val="0"/>
                <w:bCs w:val="0"/>
                <w:color w:val="171717" w:themeColor="background2" w:themeShade="1A"/>
                <w:w w:val="95"/>
                <w:sz w:val="26"/>
                <w:szCs w:val="26"/>
              </w:rPr>
            </w:pPr>
            <w:r>
              <w:rPr>
                <w:rStyle w:val="Strong"/>
                <w:color w:val="171717" w:themeColor="background2" w:themeShade="1A"/>
                <w:w w:val="95"/>
                <w:sz w:val="26"/>
                <w:szCs w:val="26"/>
              </w:rPr>
              <w:t>UBND TỈNH HÀ TĨNH</w:t>
            </w:r>
          </w:p>
        </w:tc>
        <w:tc>
          <w:tcPr>
            <w:tcW w:w="8133" w:type="dxa"/>
          </w:tcPr>
          <w:p>
            <w:pPr>
              <w:ind w:left="36" w:right="-279" w:hanging="141"/>
              <w:jc w:val="center"/>
              <w:rPr>
                <w:rStyle w:val="Strong"/>
                <w:b w:val="0"/>
                <w:bCs w:val="0"/>
                <w:color w:val="171717" w:themeColor="background2" w:themeShade="1A"/>
                <w:w w:val="95"/>
                <w:sz w:val="26"/>
                <w:szCs w:val="26"/>
              </w:rPr>
            </w:pPr>
            <w:r>
              <w:rPr>
                <w:rStyle w:val="Strong"/>
                <w:color w:val="171717" w:themeColor="background2" w:themeShade="1A"/>
                <w:w w:val="95"/>
                <w:sz w:val="26"/>
                <w:szCs w:val="26"/>
              </w:rPr>
              <w:t>CỘNG HÒA XÃ HỘI CHỦ NGHĨA VIỆT NAM</w:t>
            </w:r>
          </w:p>
        </w:tc>
      </w:tr>
      <w:tr>
        <w:trPr>
          <w:trHeight w:val="309"/>
        </w:trPr>
        <w:tc>
          <w:tcPr>
            <w:tcW w:w="7508" w:type="dxa"/>
          </w:tcPr>
          <w:p>
            <w:pPr>
              <w:ind w:right="-255"/>
              <w:jc w:val="center"/>
              <w:rPr>
                <w:rStyle w:val="Strong"/>
                <w:color w:val="171717" w:themeColor="background2" w:themeShade="1A"/>
                <w:w w:val="95"/>
                <w:sz w:val="26"/>
                <w:szCs w:val="26"/>
              </w:rPr>
            </w:pPr>
            <w:r>
              <w:rPr>
                <w:rStyle w:val="Strong"/>
                <w:color w:val="171717" w:themeColor="background2" w:themeShade="1A"/>
                <w:w w:val="95"/>
                <w:sz w:val="26"/>
                <w:szCs w:val="26"/>
              </w:rPr>
              <w:t>SỞ VĂN HÓA, THỂ THAO VÀ DU LỊCH</w:t>
            </w:r>
          </w:p>
        </w:tc>
        <w:tc>
          <w:tcPr>
            <w:tcW w:w="8133" w:type="dxa"/>
          </w:tcPr>
          <w:p>
            <w:pPr>
              <w:ind w:right="-279"/>
              <w:jc w:val="center"/>
              <w:rPr>
                <w:rStyle w:val="Strong"/>
                <w:color w:val="171717" w:themeColor="background2" w:themeShade="1A"/>
                <w:w w:val="95"/>
                <w:sz w:val="28"/>
                <w:szCs w:val="26"/>
              </w:rPr>
            </w:pPr>
            <w:r>
              <w:rPr>
                <w:rStyle w:val="Strong"/>
                <w:color w:val="171717" w:themeColor="background2" w:themeShade="1A"/>
                <w:w w:val="95"/>
                <w:sz w:val="28"/>
                <w:szCs w:val="26"/>
              </w:rPr>
              <w:t>Độc lập – Tự do – Hạnh phúc</w:t>
            </w:r>
          </w:p>
        </w:tc>
      </w:tr>
      <w:tr>
        <w:trPr>
          <w:trHeight w:val="425"/>
        </w:trPr>
        <w:tc>
          <w:tcPr>
            <w:tcW w:w="7508" w:type="dxa"/>
          </w:tcPr>
          <w:p>
            <w:pPr>
              <w:spacing w:before="120"/>
              <w:ind w:right="-278"/>
              <w:jc w:val="center"/>
              <w:rPr>
                <w:rStyle w:val="Strong"/>
                <w:color w:val="171717" w:themeColor="background2" w:themeShade="1A"/>
                <w:w w:val="95"/>
                <w:sz w:val="26"/>
                <w:szCs w:val="26"/>
              </w:rPr>
            </w:pPr>
            <w:r>
              <w:rPr>
                <w:noProof/>
                <w:color w:val="171717" w:themeColor="background2" w:themeShade="1A"/>
                <w:w w:val="95"/>
                <w:sz w:val="26"/>
                <w:szCs w:val="26"/>
              </w:rPr>
              <mc:AlternateContent>
                <mc:Choice Requires="wps">
                  <w:drawing>
                    <wp:anchor distT="0" distB="0" distL="114300" distR="114300" simplePos="0" relativeHeight="251659264" behindDoc="0" locked="0" layoutInCell="1" allowOverlap="1">
                      <wp:simplePos x="0" y="0"/>
                      <wp:positionH relativeFrom="column">
                        <wp:posOffset>1845945</wp:posOffset>
                      </wp:positionH>
                      <wp:positionV relativeFrom="paragraph">
                        <wp:posOffset>17942</wp:posOffset>
                      </wp:positionV>
                      <wp:extent cx="978195" cy="0"/>
                      <wp:effectExtent l="0" t="0" r="31750" b="19050"/>
                      <wp:wrapNone/>
                      <wp:docPr id="1839426084" name="Straight Connector 1"/>
                      <wp:cNvGraphicFramePr/>
                      <a:graphic xmlns:a="http://schemas.openxmlformats.org/drawingml/2006/main">
                        <a:graphicData uri="http://schemas.microsoft.com/office/word/2010/wordprocessingShape">
                          <wps:wsp>
                            <wps:cNvCnPr/>
                            <wps:spPr>
                              <a:xfrm>
                                <a:off x="0" y="0"/>
                                <a:ext cx="978195" cy="0"/>
                              </a:xfrm>
                              <a:prstGeom prst="line">
                                <a:avLst/>
                              </a:prstGeom>
                              <a:noFill/>
                              <a:ln w="635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35pt,1.4pt" to="222.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" strokecolor="#156082" strokeweight=".5pt">
                      <v:stroke joinstyle="miter"/>
                    </v:line>
                  </w:pict>
                </mc:Fallback>
              </mc:AlternateContent>
            </w:r>
          </w:p>
        </w:tc>
        <w:tc>
          <w:tcPr>
            <w:tcW w:w="8133" w:type="dxa"/>
          </w:tcPr>
          <w:p>
            <w:pPr>
              <w:spacing w:before="120"/>
              <w:ind w:right="-278"/>
              <w:jc w:val="center"/>
              <w:rPr>
                <w:rStyle w:val="Strong"/>
                <w:bCs w:val="0"/>
                <w:i/>
                <w:iCs/>
                <w:color w:val="171717" w:themeColor="background2" w:themeShade="1A"/>
                <w:w w:val="95"/>
                <w:sz w:val="28"/>
                <w:szCs w:val="28"/>
              </w:rPr>
            </w:pPr>
            <w:r>
              <w:rPr>
                <w:i/>
                <w:noProof/>
                <w:color w:val="171717" w:themeColor="background2" w:themeShade="1A"/>
                <w:szCs w:val="28"/>
              </w:rPr>
              <mc:AlternateContent>
                <mc:Choice Requires="wps">
                  <w:drawing>
                    <wp:anchor distT="0" distB="0" distL="114300" distR="114300" simplePos="0" relativeHeight="251660288" behindDoc="0" locked="0" layoutInCell="1" allowOverlap="1">
                      <wp:simplePos x="0" y="0"/>
                      <wp:positionH relativeFrom="column">
                        <wp:posOffset>1576735</wp:posOffset>
                      </wp:positionH>
                      <wp:positionV relativeFrom="paragraph">
                        <wp:posOffset>7517</wp:posOffset>
                      </wp:positionV>
                      <wp:extent cx="2030818" cy="0"/>
                      <wp:effectExtent l="0" t="0" r="26670" b="19050"/>
                      <wp:wrapNone/>
                      <wp:docPr id="63487945" name="Straight Connector 2"/>
                      <wp:cNvGraphicFramePr/>
                      <a:graphic xmlns:a="http://schemas.openxmlformats.org/drawingml/2006/main">
                        <a:graphicData uri="http://schemas.microsoft.com/office/word/2010/wordprocessingShape">
                          <wps:wsp>
                            <wps:cNvCnPr/>
                            <wps:spPr>
                              <a:xfrm flipV="1">
                                <a:off x="0" y="0"/>
                                <a:ext cx="2030818" cy="0"/>
                              </a:xfrm>
                              <a:prstGeom prst="line">
                                <a:avLst/>
                              </a:prstGeom>
                              <a:noFill/>
                              <a:ln w="635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15pt,.6pt" to="284.0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" strokecolor="#156082" strokeweight=".5pt">
                      <v:stroke joinstyle="miter"/>
                    </v:line>
                  </w:pict>
                </mc:Fallback>
              </mc:AlternateContent>
            </w:r>
            <w:r>
              <w:rPr>
                <w:rFonts w:eastAsiaTheme="minorEastAsia"/>
                <w:bCs/>
                <w:i/>
                <w:sz w:val="28"/>
                <w:szCs w:val="28"/>
              </w:rPr>
              <w:t>Hà Tĩnh, ngày      tháng   5 năm 2026</w:t>
            </w:r>
          </w:p>
        </w:tc>
      </w:tr>
      <w:tr>
        <w:trPr>
          <w:trHeight w:val="289"/>
        </w:trPr>
        <w:tc>
          <w:tcPr>
            <w:tcW w:w="7508" w:type="dxa"/>
          </w:tcPr>
          <w:p>
            <w:pPr>
              <w:ind w:right="-279"/>
              <w:rPr>
                <w:rStyle w:val="Strong"/>
                <w:color w:val="171717" w:themeColor="background2" w:themeShade="1A"/>
                <w:w w:val="95"/>
                <w:sz w:val="24"/>
                <w:szCs w:val="26"/>
              </w:rPr>
            </w:pPr>
          </w:p>
        </w:tc>
        <w:tc>
          <w:tcPr>
            <w:tcW w:w="8133" w:type="dxa"/>
          </w:tcPr>
          <w:p>
            <w:pPr>
              <w:ind w:right="-279"/>
              <w:jc w:val="center"/>
              <w:rPr>
                <w:rStyle w:val="Strong"/>
                <w:b w:val="0"/>
                <w:bCs w:val="0"/>
                <w:color w:val="171717" w:themeColor="background2" w:themeShade="1A"/>
                <w:w w:val="95"/>
                <w:sz w:val="24"/>
                <w:szCs w:val="26"/>
              </w:rPr>
            </w:pPr>
          </w:p>
        </w:tc>
      </w:tr>
    </w:tbl>
    <w:p>
      <w:pPr>
        <w:spacing w:after="0"/>
        <w:jc w:val="center"/>
        <w:rPr>
          <w:rFonts w:eastAsia="Times New Roman"/>
          <w:b/>
          <w:bCs/>
          <w:sz w:val="26"/>
          <w:szCs w:val="28"/>
        </w:rPr>
      </w:pPr>
      <w:r>
        <w:rPr>
          <w:rFonts w:eastAsia="Times New Roman"/>
          <w:b/>
          <w:bCs/>
          <w:sz w:val="26"/>
          <w:szCs w:val="28"/>
        </w:rPr>
        <w:t xml:space="preserve">BẢNG TỔNG HỢP TIẾP THU, GIẢI TRÌNH Ý KIẾN GÓP Ý </w:t>
      </w:r>
    </w:p>
    <w:p>
      <w:pPr>
        <w:spacing w:after="0"/>
        <w:jc w:val="center"/>
        <w:rPr>
          <w:rFonts w:eastAsia="Times New Roman"/>
          <w:b/>
          <w:bCs/>
          <w:sz w:val="26"/>
          <w:szCs w:val="28"/>
        </w:rPr>
      </w:pPr>
      <w:r>
        <w:rPr>
          <w:rFonts w:eastAsia="Times New Roman"/>
          <w:b/>
          <w:bCs/>
          <w:sz w:val="26"/>
          <w:szCs w:val="28"/>
        </w:rPr>
        <w:t xml:space="preserve">DỰ THẢO NGHỊ QUYẾT QUY ĐỊNH MỨC CHI CÁC GIẢI THỂ THAO DO ĐỊA PHƯƠNG TỔ CHỨC </w:t>
      </w:r>
    </w:p>
    <w:p>
      <w:pPr>
        <w:spacing w:after="0"/>
        <w:jc w:val="center"/>
        <w:rPr>
          <w:rFonts w:eastAsia="Times New Roman"/>
          <w:b/>
          <w:bCs/>
          <w:sz w:val="26"/>
          <w:szCs w:val="28"/>
        </w:rPr>
      </w:pPr>
      <w:r>
        <w:rPr>
          <w:rFonts w:eastAsia="Times New Roman"/>
          <w:b/>
          <w:bCs/>
          <w:sz w:val="26"/>
          <w:szCs w:val="28"/>
        </w:rPr>
        <w:t>ÁP DỤNG TRÊN ĐỊA BÀN TỈNH HÀ TĨNH</w:t>
      </w:r>
    </w:p>
    <w:p>
      <w:pPr>
        <w:ind w:firstLine="567"/>
        <w:jc w:val="both"/>
        <w:rPr>
          <w:rFonts w:cs="Times New Roman"/>
          <w:color w:val="171717" w:themeColor="background2" w:themeShade="1A"/>
          <w:sz w:val="26"/>
        </w:rPr>
      </w:pPr>
      <w:r>
        <w:rPr>
          <w:rFonts w:cs="Times New Roman"/>
          <w:noProof/>
          <w:color w:val="171717" w:themeColor="background2" w:themeShade="1A"/>
          <w:sz w:val="26"/>
        </w:rPr>
        <mc:AlternateContent>
          <mc:Choice Requires="wps">
            <w:drawing>
              <wp:anchor distT="0" distB="0" distL="114300" distR="114300" simplePos="0" relativeHeight="251661312" behindDoc="0" locked="0" layoutInCell="1" allowOverlap="1">
                <wp:simplePos x="0" y="0"/>
                <wp:positionH relativeFrom="column">
                  <wp:posOffset>3800297</wp:posOffset>
                </wp:positionH>
                <wp:positionV relativeFrom="paragraph">
                  <wp:posOffset>29372</wp:posOffset>
                </wp:positionV>
                <wp:extent cx="1409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25pt,2.3pt" to="410.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" strokecolor="#5b9bd5 [3204]" strokeweight=".5pt">
                <v:stroke joinstyle="miter"/>
              </v:line>
            </w:pict>
          </mc:Fallback>
        </mc:AlternateContent>
      </w:r>
    </w:p>
    <w:p>
      <w:pPr>
        <w:ind w:firstLine="567"/>
        <w:jc w:val="both"/>
        <w:rPr>
          <w:rFonts w:cs="Times New Roman"/>
          <w:color w:val="171717" w:themeColor="background2" w:themeShade="1A"/>
          <w:sz w:val="26"/>
        </w:rPr>
      </w:pPr>
      <w:r>
        <w:rPr>
          <w:rFonts w:cs="Times New Roman"/>
          <w:color w:val="171717" w:themeColor="background2" w:themeShade="1A"/>
          <w:sz w:val="26"/>
        </w:rPr>
        <w:t xml:space="preserve">Căn cứ </w:t>
      </w:r>
      <w:r>
        <w:rPr>
          <w:rFonts w:eastAsia="Times New Roman" w:cs="Times New Roman"/>
          <w:color w:val="171717" w:themeColor="background2" w:themeShade="1A"/>
          <w:sz w:val="26"/>
          <w:szCs w:val="28"/>
          <w:lang w:val="vi-VN" w:eastAsia="vi-VN"/>
        </w:rPr>
        <w:t>Luật Ban hành văn bản quy phạm pháp luật năm 2025;</w:t>
      </w:r>
      <w:r>
        <w:rPr>
          <w:rFonts w:eastAsia="Times New Roman" w:cs="Times New Roman"/>
          <w:color w:val="171717" w:themeColor="background2" w:themeShade="1A"/>
          <w:sz w:val="26"/>
          <w:szCs w:val="28"/>
          <w:lang w:eastAsia="vi-VN"/>
        </w:rPr>
        <w:t xml:space="preserve"> Luật</w:t>
      </w:r>
      <w:r>
        <w:rPr>
          <w:rFonts w:eastAsia="Arial" w:cs="Times New Roman"/>
          <w:color w:val="171717" w:themeColor="background2" w:themeShade="1A"/>
          <w:sz w:val="26"/>
          <w:szCs w:val="28"/>
          <w:lang w:val="vi-VN"/>
        </w:rPr>
        <w:t xml:space="preserve"> sửa đổi, bổ sung </w:t>
      </w:r>
      <w:r>
        <w:rPr>
          <w:rFonts w:eastAsia="Arial" w:cs="Times New Roman"/>
          <w:color w:val="171717" w:themeColor="background2" w:themeShade="1A"/>
          <w:sz w:val="26"/>
          <w:szCs w:val="28"/>
        </w:rPr>
        <w:t xml:space="preserve">một số điều của </w:t>
      </w:r>
      <w:r>
        <w:rPr>
          <w:rFonts w:eastAsia="Arial" w:cs="Times New Roman"/>
          <w:color w:val="171717" w:themeColor="background2" w:themeShade="1A"/>
          <w:sz w:val="26"/>
          <w:szCs w:val="28"/>
          <w:lang w:val="vi-VN"/>
        </w:rPr>
        <w:t xml:space="preserve">Luật Ban hành văn bản quy phạm pháp luật </w:t>
      </w:r>
      <w:r>
        <w:rPr>
          <w:rFonts w:eastAsia="Arial" w:cs="Times New Roman"/>
          <w:color w:val="171717" w:themeColor="background2" w:themeShade="1A"/>
          <w:sz w:val="26"/>
          <w:szCs w:val="28"/>
        </w:rPr>
        <w:t>năm 2025</w:t>
      </w:r>
      <w:r>
        <w:rPr>
          <w:rFonts w:cs="Times New Roman"/>
          <w:color w:val="171717" w:themeColor="background2" w:themeShade="1A"/>
          <w:sz w:val="26"/>
        </w:rPr>
        <w:t xml:space="preserve">, Sở Văn hóa, Thể thao và Du lịch, đơn vị chủ trì soạn thảo đã tổ chức lấy ý kiến dự thảo Nghị quyết </w:t>
      </w:r>
      <w:r>
        <w:rPr>
          <w:spacing w:val="-2"/>
          <w:sz w:val="26"/>
          <w:lang w:val="vi-VN"/>
        </w:rPr>
        <w:t xml:space="preserve">quy định mức chi đối với các giải thi đấu thể thao </w:t>
      </w:r>
      <w:r>
        <w:rPr>
          <w:rFonts w:eastAsia="Calibri" w:cs="Times New Roman"/>
          <w:sz w:val="26"/>
          <w:szCs w:val="28"/>
        </w:rPr>
        <w:t xml:space="preserve">do địa phương tổ chức áp dụng </w:t>
      </w:r>
      <w:r>
        <w:rPr>
          <w:spacing w:val="-2"/>
          <w:sz w:val="26"/>
          <w:lang w:val="vi-VN"/>
        </w:rPr>
        <w:t>trên địa bàn tỉnh Hà Tĩnh</w:t>
      </w:r>
      <w:r>
        <w:rPr>
          <w:spacing w:val="-2"/>
          <w:sz w:val="26"/>
        </w:rPr>
        <w:t>.</w:t>
      </w:r>
      <w:r>
        <w:rPr>
          <w:rFonts w:cs="Times New Roman"/>
          <w:color w:val="171717" w:themeColor="background2" w:themeShade="1A"/>
          <w:sz w:val="26"/>
        </w:rPr>
        <w:t xml:space="preserve"> </w:t>
      </w:r>
    </w:p>
    <w:p>
      <w:pPr>
        <w:ind w:firstLine="567"/>
        <w:jc w:val="both"/>
        <w:rPr>
          <w:sz w:val="26"/>
        </w:rPr>
      </w:pPr>
      <w:r>
        <w:rPr>
          <w:rFonts w:cs="Times New Roman"/>
          <w:color w:val="171717" w:themeColor="background2" w:themeShade="1A"/>
          <w:sz w:val="26"/>
        </w:rPr>
        <w:t>1. Tổng số cơ quan, đơn vị, địa phương đã gửi xin ý kiến góp ý là: 120 và tổng số ý kiến góp ý nhận được của các cơ quan, đơn vị, địa phương là: 52.</w:t>
      </w:r>
    </w:p>
    <w:p>
      <w:pPr>
        <w:ind w:firstLine="567"/>
        <w:jc w:val="both"/>
        <w:rPr>
          <w:sz w:val="26"/>
        </w:rPr>
      </w:pPr>
      <w:r>
        <w:rPr>
          <w:sz w:val="26"/>
        </w:rPr>
        <w:t>2. Kết quả như sau:</w:t>
      </w:r>
    </w:p>
    <w:tbl>
      <w:tblPr>
        <w:tblpPr w:leftFromText="180" w:rightFromText="180" w:vertAnchor="text" w:tblpX="-459"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5670"/>
        <w:gridCol w:w="5386"/>
      </w:tblGrid>
      <w:tr>
        <w:tc>
          <w:tcPr>
            <w:tcW w:w="1555" w:type="dxa"/>
          </w:tcPr>
          <w:p>
            <w:pPr>
              <w:spacing w:after="0"/>
              <w:jc w:val="center"/>
              <w:rPr>
                <w:rFonts w:eastAsia="Times New Roman" w:cs="Times New Roman"/>
                <w:b/>
                <w:bCs/>
                <w:sz w:val="24"/>
                <w:szCs w:val="24"/>
              </w:rPr>
            </w:pPr>
            <w:r>
              <w:rPr>
                <w:b/>
                <w:bCs/>
                <w:sz w:val="24"/>
                <w:szCs w:val="24"/>
              </w:rPr>
              <w:t>NHÓM VẤN Đ</w:t>
            </w:r>
            <w:r>
              <w:rPr>
                <w:b/>
                <w:bCs/>
                <w:sz w:val="24"/>
                <w:szCs w:val="24"/>
                <w:lang w:val="en-SG"/>
              </w:rPr>
              <w:t xml:space="preserve">Ề </w:t>
            </w:r>
          </w:p>
        </w:tc>
        <w:tc>
          <w:tcPr>
            <w:tcW w:w="2835" w:type="dxa"/>
            <w:shd w:val="clear" w:color="auto" w:fill="auto"/>
            <w:vAlign w:val="center"/>
          </w:tcPr>
          <w:p>
            <w:pPr>
              <w:spacing w:after="0"/>
              <w:jc w:val="center"/>
              <w:rPr>
                <w:rFonts w:eastAsia="Times New Roman" w:cs="Times New Roman"/>
                <w:b/>
                <w:bCs/>
                <w:sz w:val="24"/>
                <w:szCs w:val="24"/>
              </w:rPr>
            </w:pPr>
            <w:r>
              <w:rPr>
                <w:rFonts w:eastAsia="Times New Roman" w:cs="Times New Roman"/>
                <w:b/>
                <w:bCs/>
                <w:sz w:val="24"/>
                <w:szCs w:val="24"/>
              </w:rPr>
              <w:t xml:space="preserve">CHỦ THỂ GÓP Ý </w:t>
            </w:r>
          </w:p>
        </w:tc>
        <w:tc>
          <w:tcPr>
            <w:tcW w:w="5670" w:type="dxa"/>
            <w:shd w:val="clear" w:color="auto" w:fill="auto"/>
            <w:vAlign w:val="center"/>
          </w:tcPr>
          <w:p>
            <w:pPr>
              <w:spacing w:after="0"/>
              <w:ind w:firstLine="34"/>
              <w:jc w:val="center"/>
              <w:rPr>
                <w:rFonts w:eastAsia="Times New Roman" w:cs="Times New Roman"/>
                <w:b/>
                <w:bCs/>
                <w:sz w:val="24"/>
                <w:szCs w:val="24"/>
              </w:rPr>
            </w:pPr>
            <w:r>
              <w:rPr>
                <w:rFonts w:eastAsia="Times New Roman" w:cs="Times New Roman"/>
                <w:b/>
                <w:bCs/>
                <w:sz w:val="24"/>
                <w:szCs w:val="24"/>
              </w:rPr>
              <w:t>NỘI DUNG GÓP Ý</w:t>
            </w:r>
          </w:p>
        </w:tc>
        <w:tc>
          <w:tcPr>
            <w:tcW w:w="5386" w:type="dxa"/>
            <w:shd w:val="clear" w:color="auto" w:fill="auto"/>
            <w:vAlign w:val="center"/>
          </w:tcPr>
          <w:p>
            <w:pPr>
              <w:spacing w:after="0"/>
              <w:jc w:val="center"/>
              <w:rPr>
                <w:rFonts w:eastAsia="Times New Roman" w:cs="Times New Roman"/>
                <w:b/>
                <w:bCs/>
                <w:sz w:val="24"/>
                <w:szCs w:val="24"/>
              </w:rPr>
            </w:pPr>
            <w:r>
              <w:rPr>
                <w:rFonts w:eastAsia="Times New Roman" w:cs="Times New Roman"/>
                <w:b/>
                <w:bCs/>
                <w:sz w:val="24"/>
                <w:szCs w:val="24"/>
              </w:rPr>
              <w:t>TIẾP THU GIẢI TRÌNH</w:t>
            </w:r>
          </w:p>
        </w:tc>
      </w:tr>
      <w:tr>
        <w:tc>
          <w:tcPr>
            <w:tcW w:w="1555" w:type="dxa"/>
          </w:tcPr>
          <w:p>
            <w:pPr>
              <w:spacing w:after="0"/>
              <w:rPr>
                <w:rFonts w:eastAsia="Times New Roman" w:cs="Times New Roman"/>
                <w:b/>
                <w:bCs/>
                <w:sz w:val="24"/>
                <w:szCs w:val="24"/>
              </w:rPr>
            </w:pPr>
            <w:r>
              <w:rPr>
                <w:rFonts w:eastAsia="Times New Roman" w:cs="Times New Roman"/>
                <w:bCs/>
                <w:sz w:val="24"/>
                <w:szCs w:val="24"/>
              </w:rPr>
              <w:t>Dự thảo Tờ trình; Dự thảo Nghị quyết</w:t>
            </w: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Mặt trận tổ quốc VN tỉnh</w:t>
            </w:r>
          </w:p>
          <w:p>
            <w:pPr>
              <w:spacing w:after="0"/>
              <w:rPr>
                <w:rFonts w:eastAsia="Times New Roman" w:cs="Times New Roman"/>
                <w:bCs/>
                <w:sz w:val="24"/>
                <w:szCs w:val="24"/>
              </w:rPr>
            </w:pPr>
            <w:r>
              <w:rPr>
                <w:rFonts w:eastAsia="Times New Roman" w:cs="Times New Roman"/>
                <w:bCs/>
                <w:sz w:val="24"/>
                <w:szCs w:val="24"/>
              </w:rPr>
              <w:t>Văn bản số 626/MTTQ-BTT ngày 21/5/2026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xml:space="preserve">Thống nhất Dự thảo </w:t>
            </w:r>
          </w:p>
        </w:tc>
        <w:tc>
          <w:tcPr>
            <w:tcW w:w="5386" w:type="dxa"/>
            <w:shd w:val="clear" w:color="auto" w:fill="auto"/>
          </w:tcPr>
          <w:p>
            <w:pPr>
              <w:spacing w:after="0"/>
              <w:rPr>
                <w:rFonts w:eastAsia="Times New Roman" w:cs="Times New Roman"/>
                <w:bCs/>
                <w:sz w:val="24"/>
                <w:szCs w:val="24"/>
                <w:lang w:val="vi-VN"/>
              </w:rPr>
            </w:pPr>
          </w:p>
        </w:tc>
      </w:tr>
      <w:tr>
        <w:trPr>
          <w:trHeight w:val="4236"/>
        </w:trPr>
        <w:tc>
          <w:tcPr>
            <w:tcW w:w="1555" w:type="dxa"/>
          </w:tcPr>
          <w:p>
            <w:pPr>
              <w:spacing w:after="0"/>
              <w:ind w:firstLine="34"/>
              <w:rPr>
                <w:rFonts w:cs="Times New Roman"/>
                <w:b/>
                <w:bCs/>
                <w:spacing w:val="-2"/>
                <w:sz w:val="24"/>
                <w:szCs w:val="24"/>
              </w:rPr>
            </w:pPr>
            <w:r>
              <w:rPr>
                <w:rFonts w:cs="Times New Roman"/>
                <w:b/>
                <w:bCs/>
                <w:spacing w:val="-2"/>
                <w:sz w:val="24"/>
                <w:szCs w:val="24"/>
              </w:rPr>
              <w:t xml:space="preserve"> Dự thảo Tờ trình</w:t>
            </w:r>
          </w:p>
          <w:p>
            <w:pPr>
              <w:spacing w:after="0"/>
              <w:ind w:firstLine="34"/>
              <w:rPr>
                <w:rFonts w:cs="Times New Roman"/>
                <w:b/>
                <w:bCs/>
                <w:spacing w:val="-2"/>
                <w:sz w:val="24"/>
                <w:szCs w:val="24"/>
              </w:rPr>
            </w:pPr>
          </w:p>
          <w:p>
            <w:pPr>
              <w:spacing w:after="0"/>
              <w:ind w:firstLine="34"/>
              <w:rPr>
                <w:rFonts w:cs="Times New Roman"/>
                <w:b/>
                <w:bCs/>
                <w:spacing w:val="-2"/>
                <w:sz w:val="24"/>
                <w:szCs w:val="24"/>
              </w:rPr>
            </w:pPr>
          </w:p>
          <w:p>
            <w:pPr>
              <w:spacing w:after="0"/>
              <w:ind w:firstLine="34"/>
              <w:rPr>
                <w:rFonts w:cs="Times New Roman"/>
                <w:b/>
                <w:bCs/>
                <w:spacing w:val="-2"/>
                <w:sz w:val="24"/>
                <w:szCs w:val="24"/>
              </w:rPr>
            </w:pPr>
          </w:p>
          <w:p>
            <w:pPr>
              <w:spacing w:after="0"/>
              <w:rPr>
                <w:rFonts w:eastAsia="Times New Roman" w:cs="Times New Roman"/>
                <w:b/>
                <w:bCs/>
                <w:sz w:val="24"/>
                <w:szCs w:val="24"/>
              </w:rPr>
            </w:pPr>
          </w:p>
          <w:p>
            <w:pPr>
              <w:spacing w:after="0"/>
              <w:rPr>
                <w:rFonts w:eastAsia="Times New Roman" w:cs="Times New Roman"/>
                <w:b/>
                <w:bCs/>
                <w:sz w:val="24"/>
                <w:szCs w:val="24"/>
              </w:rPr>
            </w:pPr>
          </w:p>
          <w:p>
            <w:pPr>
              <w:spacing w:after="0"/>
              <w:rPr>
                <w:rFonts w:eastAsia="Times New Roman" w:cs="Times New Roman"/>
                <w:b/>
                <w:bCs/>
                <w:sz w:val="24"/>
                <w:szCs w:val="24"/>
              </w:rPr>
            </w:pPr>
          </w:p>
          <w:p>
            <w:pPr>
              <w:spacing w:after="0"/>
              <w:rPr>
                <w:rFonts w:eastAsia="Times New Roman" w:cs="Times New Roman"/>
                <w:b/>
                <w:bCs/>
                <w:sz w:val="24"/>
                <w:szCs w:val="24"/>
              </w:rPr>
            </w:pPr>
          </w:p>
        </w:tc>
        <w:tc>
          <w:tcPr>
            <w:tcW w:w="2835" w:type="dxa"/>
            <w:shd w:val="clear" w:color="auto" w:fill="auto"/>
          </w:tcPr>
          <w:p>
            <w:pPr>
              <w:spacing w:after="0"/>
              <w:rPr>
                <w:rFonts w:eastAsia="Times New Roman" w:cs="Times New Roman"/>
                <w:b/>
                <w:bCs/>
                <w:sz w:val="24"/>
                <w:szCs w:val="24"/>
              </w:rPr>
            </w:pPr>
            <w:r>
              <w:rPr>
                <w:rFonts w:eastAsia="Times New Roman" w:cs="Times New Roman"/>
                <w:b/>
                <w:bCs/>
                <w:sz w:val="24"/>
                <w:szCs w:val="24"/>
              </w:rPr>
              <w:t>Sở Tư pháp</w:t>
            </w:r>
          </w:p>
          <w:p>
            <w:pPr>
              <w:spacing w:after="0"/>
              <w:rPr>
                <w:rFonts w:eastAsia="Times New Roman" w:cs="Times New Roman"/>
                <w:b/>
                <w:bCs/>
                <w:sz w:val="24"/>
                <w:szCs w:val="24"/>
              </w:rPr>
            </w:pPr>
            <w:r>
              <w:rPr>
                <w:rFonts w:eastAsia="Times New Roman" w:cs="Times New Roman"/>
                <w:bCs/>
                <w:sz w:val="24"/>
                <w:szCs w:val="24"/>
              </w:rPr>
              <w:t>Văn bản số 1228 /STP-XDPL</w:t>
            </w:r>
            <w:r>
              <w:rPr>
                <w:rFonts w:eastAsia="Times New Roman" w:cs="Times New Roman"/>
                <w:b/>
                <w:bCs/>
                <w:sz w:val="24"/>
                <w:szCs w:val="24"/>
              </w:rPr>
              <w:t xml:space="preserve"> </w:t>
            </w:r>
            <w:r>
              <w:rPr>
                <w:rFonts w:eastAsia="Times New Roman" w:cs="Times New Roman"/>
                <w:bCs/>
                <w:sz w:val="24"/>
                <w:szCs w:val="24"/>
              </w:rPr>
              <w:t>ngày 22/5/2026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Đề nghị cơ quan soạn thảo rà soát, thực hiện theo đúng mẫu số 02 Phụ lục IV Nghị định số 187/2025/NĐ-CP của Chính phủ.</w:t>
            </w:r>
          </w:p>
          <w:p>
            <w:pPr>
              <w:spacing w:after="0"/>
              <w:rPr>
                <w:rFonts w:eastAsiaTheme="minorHAnsi"/>
                <w:sz w:val="24"/>
                <w:szCs w:val="28"/>
                <w:lang w:val="vi-VN" w:eastAsia="en-US"/>
              </w:rPr>
            </w:pPr>
            <w:r>
              <w:rPr>
                <w:rFonts w:eastAsiaTheme="minorHAnsi"/>
                <w:sz w:val="24"/>
                <w:szCs w:val="28"/>
                <w:lang w:val="vi-VN" w:eastAsia="en-US"/>
              </w:rPr>
              <w:t>- Tại mục 1 phần I về cơ sở pháp lý, đề nghị nêu rõ điều, khoản giao HĐND tỉnh ban hành Nghị quyết này để quy định chi tiết nội dung tại văn bản quy phạm pháp luật cấp trên; bổ sung điều, khoản quy định về thẩm quyền ban hành Nghị quyết của HĐND tỉnh theo quy định tại Luật Ban hành văn bản quy phạm pháp luật, Luật Ngân sách nhà nước.</w:t>
            </w:r>
          </w:p>
          <w:p>
            <w:pPr>
              <w:spacing w:after="0"/>
              <w:rPr>
                <w:rFonts w:eastAsiaTheme="minorHAnsi"/>
                <w:sz w:val="24"/>
                <w:szCs w:val="28"/>
                <w:lang w:val="vi-VN" w:eastAsia="en-US"/>
              </w:rPr>
            </w:pPr>
            <w:r>
              <w:rPr>
                <w:rFonts w:eastAsiaTheme="minorHAnsi"/>
                <w:sz w:val="24"/>
                <w:szCs w:val="28"/>
                <w:lang w:val="vi-VN" w:eastAsia="en-US"/>
              </w:rPr>
              <w:t>- Tại điểm a mục 2 phần IV, đề nghị cơ quan soạn thảo giải trình, làm rõ căn cứ lựa chọn các hoạt động thể thao để đưa vào phạm vi điều chỉnh của dự thảo Nghị quyết, gồm: Đại hội thể dục thể thao, giải thi đấu thể thao, hội thi thể thao, Hội khỏe Phù Đổng.</w:t>
            </w:r>
          </w:p>
        </w:tc>
        <w:tc>
          <w:tcPr>
            <w:tcW w:w="5386" w:type="dxa"/>
            <w:shd w:val="clear" w:color="auto" w:fill="auto"/>
          </w:tcPr>
          <w:p>
            <w:pPr>
              <w:spacing w:after="0"/>
              <w:rPr>
                <w:rFonts w:eastAsia="Times New Roman"/>
                <w:bCs/>
                <w:sz w:val="24"/>
                <w:szCs w:val="24"/>
              </w:rPr>
            </w:pPr>
            <w:r>
              <w:rPr>
                <w:rFonts w:eastAsia="Times New Roman"/>
                <w:bCs/>
                <w:sz w:val="24"/>
                <w:szCs w:val="24"/>
              </w:rPr>
              <w:t>Đã tiếp thu chỉnh sửa</w:t>
            </w: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r>
              <w:rPr>
                <w:rFonts w:eastAsia="Times New Roman"/>
                <w:bCs/>
                <w:sz w:val="24"/>
                <w:szCs w:val="24"/>
              </w:rPr>
              <w:t>Đã tiếp thu chỉnh sửa</w:t>
            </w: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r>
              <w:rPr>
                <w:rFonts w:eastAsia="Times New Roman"/>
                <w:bCs/>
                <w:sz w:val="24"/>
                <w:szCs w:val="24"/>
              </w:rPr>
              <w:t>Đã tiếp thu chỉnh sửa</w:t>
            </w:r>
          </w:p>
        </w:tc>
      </w:tr>
      <w:tr>
        <w:trPr>
          <w:trHeight w:val="620"/>
        </w:trPr>
        <w:tc>
          <w:tcPr>
            <w:tcW w:w="1555" w:type="dxa"/>
          </w:tcPr>
          <w:p>
            <w:pPr>
              <w:spacing w:after="0"/>
              <w:rPr>
                <w:rFonts w:cs="Times New Roman"/>
                <w:b/>
                <w:bCs/>
                <w:spacing w:val="-2"/>
                <w:sz w:val="24"/>
                <w:szCs w:val="24"/>
              </w:rPr>
            </w:pPr>
            <w:r>
              <w:rPr>
                <w:rFonts w:cs="Times New Roman"/>
                <w:b/>
                <w:bCs/>
                <w:spacing w:val="-2"/>
                <w:sz w:val="24"/>
                <w:szCs w:val="24"/>
              </w:rPr>
              <w:lastRenderedPageBreak/>
              <w:t>Dự thảo Nghị quyết</w:t>
            </w:r>
          </w:p>
        </w:tc>
        <w:tc>
          <w:tcPr>
            <w:tcW w:w="2835" w:type="dxa"/>
            <w:shd w:val="clear" w:color="auto" w:fill="auto"/>
          </w:tcPr>
          <w:p>
            <w:pPr>
              <w:spacing w:after="0"/>
              <w:rPr>
                <w:rFonts w:eastAsia="Times New Roman" w:cs="Times New Roman"/>
                <w:b/>
                <w:bCs/>
                <w:sz w:val="24"/>
                <w:szCs w:val="24"/>
              </w:rPr>
            </w:pP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Đối với mức chi cụ thể, đề nghị cơ quan soạn thảo lấy ý kiến Sở Tài chính đối với từng nội dung để đảm bảo phù hợp với tình hình thực tiễn ngân sách địa phương.</w:t>
            </w:r>
          </w:p>
          <w:p>
            <w:pPr>
              <w:spacing w:after="0"/>
              <w:rPr>
                <w:rFonts w:eastAsiaTheme="minorHAnsi"/>
                <w:sz w:val="24"/>
                <w:szCs w:val="28"/>
                <w:lang w:val="vi-VN" w:eastAsia="en-US"/>
              </w:rPr>
            </w:pPr>
            <w:r>
              <w:rPr>
                <w:rFonts w:eastAsiaTheme="minorHAnsi"/>
                <w:sz w:val="24"/>
                <w:szCs w:val="28"/>
                <w:lang w:val="vi-VN" w:eastAsia="en-US"/>
              </w:rPr>
              <w:t>- Tại khoản 1 Điều 1 dự thảo, đề nghị bổ sung cụ thể điều, khoản giao nội dung quy định chi tiết để phù hợp với quy định tại khoản 2 Điều 65 Nghị định số 78/2025/NĐ-CP.</w:t>
            </w:r>
          </w:p>
          <w:p>
            <w:pPr>
              <w:spacing w:after="0"/>
              <w:rPr>
                <w:rFonts w:eastAsiaTheme="minorHAnsi"/>
                <w:sz w:val="24"/>
                <w:szCs w:val="28"/>
                <w:lang w:val="vi-VN" w:eastAsia="en-US"/>
              </w:rPr>
            </w:pPr>
            <w:r>
              <w:rPr>
                <w:rFonts w:eastAsiaTheme="minorHAnsi"/>
                <w:sz w:val="24"/>
                <w:szCs w:val="28"/>
                <w:lang w:val="vi-VN" w:eastAsia="en-US"/>
              </w:rPr>
              <w:t>- Tại Điều 2 dự thảo Nghị quyết đã quy định về mức chi nhưng chưa quy định về cách xác định thời gian để tính mức chi, đề nghị cơ quan soạn thảo xem xét bổ sung để thuận lợi trong tổ chức thực hiện.</w:t>
            </w:r>
          </w:p>
          <w:p>
            <w:pPr>
              <w:spacing w:after="0"/>
              <w:rPr>
                <w:rFonts w:eastAsiaTheme="minorHAnsi"/>
                <w:sz w:val="24"/>
                <w:szCs w:val="28"/>
                <w:lang w:val="vi-VN" w:eastAsia="en-US"/>
              </w:rPr>
            </w:pPr>
            <w:r>
              <w:rPr>
                <w:rFonts w:eastAsiaTheme="minorHAnsi"/>
                <w:sz w:val="24"/>
                <w:szCs w:val="28"/>
                <w:lang w:val="vi-VN" w:eastAsia="en-US"/>
              </w:rPr>
              <w:t xml:space="preserve">Về thành phần hồ sơ gửi thẩm định, đề nghị cơ quan soạn thảo gửi đầy đủ hồ sơ theo quy định tại khoản 2 Điều 45 Nghị định 78/2025/NĐ-CP (Gồm các dự thảo: Tờ trình; Nghị quyết; Bản so sánh, thuyết minh nội dung dự thảo; Bản đánh giá thủ tục hành chính, việc phân cấp, thực hiện nhiệm vụ, quyền hạn được phân cấp, việc ứng dụng, thúc đẩy phát triển khoa học, công nghệ, đổi mới sáng tạo và chuyển đổi số (nếu có); </w:t>
            </w:r>
            <w:bookmarkStart w:id="0" w:name="khoan_2_45_name"/>
            <w:r>
              <w:rPr>
                <w:rFonts w:eastAsiaTheme="minorHAnsi"/>
                <w:sz w:val="24"/>
                <w:szCs w:val="28"/>
                <w:lang w:val="vi-VN" w:eastAsia="en-US"/>
              </w:rPr>
              <w:t>bản tổng hợp ý kiến, tiếp thu, giải trình ý kiến góp ý</w:t>
            </w:r>
            <w:bookmarkEnd w:id="0"/>
            <w:r>
              <w:rPr>
                <w:rFonts w:eastAsiaTheme="minorHAnsi"/>
                <w:sz w:val="24"/>
                <w:szCs w:val="28"/>
                <w:lang w:val="vi-VN" w:eastAsia="en-US"/>
              </w:rPr>
              <w:t>), theo các mẫu được quy định tại Nghị định số 187/2025/NĐ-CP của Chính phủ. Lưu ý hồ sơ gồm bản điện tử và 01 bản giấy (Dự thảo văn bản được đóng dấu giáp lai, các tài liệu khác được đóng dấu treo của cơ quan chủ trì soạn thảo).</w:t>
            </w:r>
          </w:p>
        </w:tc>
        <w:tc>
          <w:tcPr>
            <w:tcW w:w="5386" w:type="dxa"/>
            <w:shd w:val="clear" w:color="auto" w:fill="auto"/>
          </w:tcPr>
          <w:p>
            <w:pPr>
              <w:spacing w:after="0"/>
              <w:rPr>
                <w:rFonts w:eastAsia="Times New Roman"/>
                <w:bCs/>
                <w:sz w:val="24"/>
                <w:szCs w:val="24"/>
              </w:rPr>
            </w:pPr>
            <w:r>
              <w:rPr>
                <w:rFonts w:eastAsia="Times New Roman"/>
                <w:bCs/>
                <w:sz w:val="24"/>
                <w:szCs w:val="24"/>
              </w:rPr>
              <w:t>Cơ quan soạn thảo đã gửi lấy ý kiến của Sở Tài chínnh.</w:t>
            </w: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r>
              <w:rPr>
                <w:rFonts w:eastAsia="Times New Roman"/>
                <w:bCs/>
                <w:sz w:val="24"/>
                <w:szCs w:val="24"/>
              </w:rPr>
              <w:t>Đã tiếp thu chỉnh sửa Dự thảo</w:t>
            </w: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r>
              <w:rPr>
                <w:rFonts w:eastAsia="Times New Roman"/>
                <w:bCs/>
                <w:sz w:val="24"/>
                <w:szCs w:val="24"/>
              </w:rPr>
              <w:t>Đã tiếp thu bổ sung  Dự thảo</w:t>
            </w: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r>
              <w:rPr>
                <w:rFonts w:eastAsia="Times New Roman"/>
                <w:bCs/>
                <w:sz w:val="24"/>
                <w:szCs w:val="24"/>
              </w:rPr>
              <w:t xml:space="preserve">Đã tiếp thu và bổ sung đầy đủ theo góp ý </w:t>
            </w:r>
          </w:p>
        </w:tc>
      </w:tr>
      <w:tr>
        <w:trPr>
          <w:trHeight w:val="1604"/>
        </w:trPr>
        <w:tc>
          <w:tcPr>
            <w:tcW w:w="1555" w:type="dxa"/>
          </w:tcPr>
          <w:p>
            <w:pPr>
              <w:spacing w:after="0"/>
              <w:ind w:firstLine="34"/>
              <w:rPr>
                <w:rFonts w:cs="Times New Roman"/>
                <w:b/>
                <w:bCs/>
                <w:spacing w:val="-2"/>
                <w:sz w:val="24"/>
                <w:szCs w:val="24"/>
              </w:rPr>
            </w:pPr>
          </w:p>
          <w:p>
            <w:pPr>
              <w:spacing w:after="0"/>
              <w:ind w:firstLine="34"/>
              <w:rPr>
                <w:rFonts w:cs="Times New Roman"/>
                <w:b/>
                <w:bCs/>
                <w:spacing w:val="-2"/>
                <w:sz w:val="24"/>
                <w:szCs w:val="24"/>
              </w:rPr>
            </w:pPr>
          </w:p>
          <w:p>
            <w:pPr>
              <w:spacing w:after="0"/>
              <w:rPr>
                <w:rFonts w:cs="Times New Roman"/>
                <w:b/>
                <w:bCs/>
                <w:spacing w:val="-2"/>
                <w:sz w:val="24"/>
                <w:szCs w:val="24"/>
              </w:rPr>
            </w:pPr>
            <w:r>
              <w:rPr>
                <w:rFonts w:eastAsia="Times New Roman" w:cs="Times New Roman"/>
                <w:bCs/>
                <w:sz w:val="24"/>
                <w:szCs w:val="24"/>
              </w:rPr>
              <w:t>- Dự thảo Tờ trình</w:t>
            </w:r>
          </w:p>
        </w:tc>
        <w:tc>
          <w:tcPr>
            <w:tcW w:w="2835" w:type="dxa"/>
            <w:vMerge w:val="restart"/>
            <w:shd w:val="clear" w:color="auto" w:fill="auto"/>
          </w:tcPr>
          <w:p>
            <w:pPr>
              <w:spacing w:after="0"/>
              <w:rPr>
                <w:rFonts w:eastAsia="Times New Roman" w:cs="Times New Roman"/>
                <w:b/>
                <w:bCs/>
                <w:sz w:val="24"/>
                <w:szCs w:val="24"/>
              </w:rPr>
            </w:pPr>
            <w:r>
              <w:rPr>
                <w:rFonts w:eastAsia="Times New Roman" w:cs="Times New Roman"/>
                <w:b/>
                <w:bCs/>
                <w:sz w:val="24"/>
                <w:szCs w:val="24"/>
              </w:rPr>
              <w:t>Sở Khoa học và Công nghệ</w:t>
            </w:r>
          </w:p>
          <w:p>
            <w:pPr>
              <w:spacing w:after="0"/>
              <w:rPr>
                <w:rFonts w:eastAsia="Times New Roman" w:cs="Times New Roman"/>
                <w:b/>
                <w:bCs/>
                <w:sz w:val="24"/>
                <w:szCs w:val="24"/>
              </w:rPr>
            </w:pPr>
            <w:r>
              <w:rPr>
                <w:rFonts w:eastAsia="Times New Roman" w:cs="Times New Roman"/>
                <w:bCs/>
                <w:sz w:val="24"/>
                <w:szCs w:val="24"/>
              </w:rPr>
              <w:t>Văn bản số 13</w:t>
            </w:r>
            <w:r>
              <w:rPr>
                <w:rFonts w:eastAsia="Times New Roman"/>
                <w:bCs/>
                <w:sz w:val="24"/>
                <w:szCs w:val="24"/>
              </w:rPr>
              <w:t>62</w:t>
            </w:r>
            <w:r>
              <w:rPr>
                <w:rFonts w:eastAsia="Times New Roman" w:cs="Times New Roman"/>
                <w:bCs/>
                <w:sz w:val="24"/>
                <w:szCs w:val="24"/>
              </w:rPr>
              <w:t>/SKHCN-VP ngày 21/5/2026</w:t>
            </w:r>
          </w:p>
        </w:tc>
        <w:tc>
          <w:tcPr>
            <w:tcW w:w="5670" w:type="dxa"/>
            <w:shd w:val="clear" w:color="auto" w:fill="auto"/>
          </w:tcPr>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 Bổ sung căn cứ: “Nghị định số 36/2019/NĐ-CP ngày 29 tháng 4 năm 2019 của Chính phủ Quy định chi tiết một số điều của Luật Sửa đổi, bổ sung một số điều của Luật Thể dục, thể thao”;</w:t>
            </w:r>
          </w:p>
        </w:tc>
        <w:tc>
          <w:tcPr>
            <w:tcW w:w="5386" w:type="dxa"/>
            <w:shd w:val="clear" w:color="auto" w:fill="auto"/>
          </w:tcPr>
          <w:p>
            <w:pPr>
              <w:spacing w:after="0"/>
              <w:rPr>
                <w:rFonts w:eastAsia="Times New Roman"/>
                <w:bCs/>
                <w:sz w:val="24"/>
                <w:szCs w:val="24"/>
              </w:rPr>
            </w:pPr>
            <w:r>
              <w:rPr>
                <w:rFonts w:eastAsia="Times New Roman"/>
                <w:bCs/>
                <w:sz w:val="24"/>
                <w:szCs w:val="24"/>
              </w:rPr>
              <w:t xml:space="preserve">Giải trình: </w:t>
            </w:r>
            <w:r>
              <w:rPr>
                <w:spacing w:val="-6"/>
                <w:sz w:val="24"/>
                <w:szCs w:val="24"/>
              </w:rPr>
              <w:t>Nghị định số 36/2019/NĐ-CP của Chính phủ Quy định chi tiết một số điều của Luật Sửa đổi, bổ sung một số điều của Luật Thể dục, thể thao</w:t>
            </w:r>
            <w:r>
              <w:rPr>
                <w:rFonts w:eastAsia="Times New Roman"/>
                <w:bCs/>
                <w:sz w:val="24"/>
                <w:szCs w:val="24"/>
              </w:rPr>
              <w:t xml:space="preserve"> không lliên quan đối tượng, thủ tục của dự thảo Nghị quyết. nên dự thảo Nghị quyết không áp dụng làm căn cứ ban hành.</w:t>
            </w:r>
          </w:p>
        </w:tc>
      </w:tr>
      <w:tr>
        <w:trPr>
          <w:trHeight w:val="791"/>
        </w:trPr>
        <w:tc>
          <w:tcPr>
            <w:tcW w:w="1555" w:type="dxa"/>
          </w:tcPr>
          <w:p>
            <w:pPr>
              <w:spacing w:after="0"/>
              <w:ind w:firstLine="34"/>
              <w:rPr>
                <w:rFonts w:cs="Times New Roman"/>
                <w:b/>
                <w:bCs/>
                <w:spacing w:val="-2"/>
                <w:sz w:val="24"/>
                <w:szCs w:val="24"/>
              </w:rPr>
            </w:pPr>
            <w:r>
              <w:rPr>
                <w:rFonts w:eastAsia="Times New Roman" w:cs="Times New Roman"/>
                <w:bCs/>
                <w:sz w:val="24"/>
                <w:szCs w:val="24"/>
              </w:rPr>
              <w:t>- Dự thảo Nghị quyết</w:t>
            </w:r>
          </w:p>
        </w:tc>
        <w:tc>
          <w:tcPr>
            <w:tcW w:w="2835" w:type="dxa"/>
            <w:vMerge/>
            <w:shd w:val="clear" w:color="auto" w:fill="auto"/>
          </w:tcPr>
          <w:p>
            <w:pPr>
              <w:spacing w:after="0"/>
              <w:rPr>
                <w:rFonts w:eastAsia="Times New Roman" w:cs="Times New Roman"/>
                <w:b/>
                <w:bCs/>
                <w:sz w:val="24"/>
                <w:szCs w:val="24"/>
              </w:rPr>
            </w:pP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Tại các căn cứ Nghị định, Thông tư của dự thảo Nghị quyết cần bổ sung ngày ban hành.</w:t>
            </w:r>
          </w:p>
        </w:tc>
        <w:tc>
          <w:tcPr>
            <w:tcW w:w="5386" w:type="dxa"/>
            <w:shd w:val="clear" w:color="auto" w:fill="auto"/>
          </w:tcPr>
          <w:p>
            <w:pPr>
              <w:spacing w:after="0"/>
              <w:rPr>
                <w:rFonts w:eastAsia="Times New Roman"/>
                <w:bCs/>
                <w:sz w:val="24"/>
                <w:szCs w:val="24"/>
              </w:rPr>
            </w:pPr>
            <w:r>
              <w:rPr>
                <w:rFonts w:eastAsia="Times New Roman"/>
                <w:bCs/>
                <w:sz w:val="24"/>
                <w:szCs w:val="24"/>
              </w:rPr>
              <w:t>Đã tiếp thu và chỉnh sửa Dự thảo Tờ trình theo mẫu</w:t>
            </w:r>
            <w:r>
              <w:rPr>
                <w:spacing w:val="-2"/>
                <w:sz w:val="24"/>
                <w:szCs w:val="24"/>
              </w:rPr>
              <w:t xml:space="preserve"> tại Nghị định số 187/2025/NĐ-CP của Chính phủ</w:t>
            </w:r>
          </w:p>
        </w:tc>
      </w:tr>
      <w:tr>
        <w:trPr>
          <w:trHeight w:val="7186"/>
        </w:trPr>
        <w:tc>
          <w:tcPr>
            <w:tcW w:w="1555" w:type="dxa"/>
          </w:tcPr>
          <w:p>
            <w:pPr>
              <w:spacing w:after="0"/>
              <w:rPr>
                <w:rFonts w:cs="Times New Roman"/>
                <w:b/>
                <w:bCs/>
                <w:spacing w:val="-2"/>
                <w:sz w:val="24"/>
                <w:szCs w:val="24"/>
              </w:rPr>
            </w:pPr>
          </w:p>
          <w:p>
            <w:pPr>
              <w:spacing w:after="0"/>
              <w:rPr>
                <w:rFonts w:cs="Times New Roman"/>
                <w:b/>
                <w:bCs/>
                <w:spacing w:val="-2"/>
                <w:sz w:val="24"/>
                <w:szCs w:val="24"/>
              </w:rPr>
            </w:pPr>
            <w:r>
              <w:rPr>
                <w:rFonts w:cs="Times New Roman"/>
                <w:b/>
                <w:bCs/>
                <w:spacing w:val="-2"/>
                <w:sz w:val="24"/>
                <w:szCs w:val="24"/>
              </w:rPr>
              <w:t>Nguồn kinh phí và phạm vi đ</w:t>
            </w:r>
            <w:r>
              <w:rPr>
                <w:rFonts w:cs="Times New Roman"/>
                <w:b/>
                <w:bCs/>
                <w:spacing w:val="-2"/>
                <w:sz w:val="24"/>
                <w:szCs w:val="24"/>
              </w:rPr>
              <w:t>ối tượ</w:t>
            </w:r>
            <w:r>
              <w:rPr>
                <w:rFonts w:cs="Times New Roman"/>
                <w:b/>
                <w:bCs/>
                <w:spacing w:val="-2"/>
                <w:sz w:val="24"/>
                <w:szCs w:val="24"/>
              </w:rPr>
              <w:t xml:space="preserve">ng </w:t>
            </w:r>
          </w:p>
        </w:tc>
        <w:tc>
          <w:tcPr>
            <w:tcW w:w="2835" w:type="dxa"/>
            <w:shd w:val="clear" w:color="auto" w:fill="auto"/>
          </w:tcPr>
          <w:p>
            <w:pPr>
              <w:spacing w:after="0"/>
              <w:rPr>
                <w:rFonts w:eastAsia="Times New Roman" w:cs="Times New Roman"/>
                <w:b/>
                <w:bCs/>
                <w:sz w:val="24"/>
                <w:szCs w:val="24"/>
              </w:rPr>
            </w:pPr>
            <w:r>
              <w:rPr>
                <w:rFonts w:eastAsia="Times New Roman" w:cs="Times New Roman"/>
                <w:b/>
                <w:bCs/>
                <w:sz w:val="24"/>
                <w:szCs w:val="24"/>
              </w:rPr>
              <w:t>Sở Tài Chính</w:t>
            </w:r>
          </w:p>
          <w:p>
            <w:pPr>
              <w:spacing w:after="0"/>
              <w:rPr>
                <w:rFonts w:eastAsia="Times New Roman" w:cs="Times New Roman"/>
                <w:bCs/>
                <w:sz w:val="24"/>
                <w:szCs w:val="24"/>
              </w:rPr>
            </w:pPr>
            <w:r>
              <w:rPr>
                <w:rFonts w:cs="Times New Roman"/>
                <w:sz w:val="24"/>
                <w:szCs w:val="24"/>
              </w:rPr>
              <w:t xml:space="preserve">Văn bản số 3290/STC-QLN </w:t>
            </w:r>
            <w:r>
              <w:rPr>
                <w:rFonts w:eastAsia="Times New Roman" w:cs="Times New Roman"/>
                <w:bCs/>
                <w:sz w:val="24"/>
                <w:szCs w:val="24"/>
              </w:rPr>
              <w:t>ngày 15/5/2026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xml:space="preserve">- </w:t>
            </w:r>
            <w:r>
              <w:rPr>
                <w:rFonts w:eastAsiaTheme="minorHAnsi"/>
                <w:sz w:val="24"/>
                <w:szCs w:val="28"/>
                <w:lang w:val="vi-VN" w:eastAsia="en-US"/>
              </w:rPr>
              <w:t>Thống nhất về nguồn kinh phí thực hiện quy định tại dự thảo Nghị quyết</w:t>
            </w:r>
          </w:p>
          <w:p>
            <w:pPr>
              <w:spacing w:after="0"/>
              <w:rPr>
                <w:rFonts w:eastAsiaTheme="minorHAnsi"/>
                <w:sz w:val="24"/>
                <w:szCs w:val="28"/>
                <w:lang w:val="vi-VN" w:eastAsia="en-US"/>
              </w:rPr>
            </w:pPr>
            <w:r>
              <w:rPr>
                <w:rFonts w:eastAsiaTheme="minorHAnsi"/>
                <w:sz w:val="24"/>
                <w:szCs w:val="28"/>
                <w:lang w:val="vi-VN" w:eastAsia="en-US"/>
              </w:rPr>
              <w:t>- Đề nghị đơn vị quy định rõ đối tượng, trong đó đề nghị các mức chi tương ứng, cụ thể của các giải (quy định tại Điều 13; Điều 37 Luật thể dục thể thao 2006 được sửa đổi, bổ sung tại Luật thể dục thể thao 2018): Đại hội, giải thi đấu thể thao cấp khu vực, châu lục và thế giới tổ chức tại Hà Tĩnh;  Đại hội, giải thi đấu thể thao cấp quốc gia tổ chức tại Hà Tĩnh; Các giải thể thao do UBND tỉnh quyết định.</w:t>
            </w: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 Đối với các giải thể thao quần chúng do UBND cấp xã quyết định tổ chức (quy định tại khoản 2 Điều 13 Luật thể dục thể thao 2006 được sửa đổi, bổ sung tại Luật thể dục thể thao 2018), kinh phí thực hiện do Ngân sách cấp xã bố trí nên đề nghị lấy ý kiến của UBND cấp xã về mức chi.</w:t>
            </w:r>
          </w:p>
          <w:p>
            <w:pPr>
              <w:spacing w:after="0"/>
              <w:rPr>
                <w:rFonts w:eastAsiaTheme="minorHAnsi"/>
                <w:sz w:val="24"/>
                <w:szCs w:val="28"/>
                <w:lang w:val="vi-VN" w:eastAsia="en-US"/>
              </w:rPr>
            </w:pPr>
            <w:r>
              <w:rPr>
                <w:rFonts w:eastAsiaTheme="minorHAnsi"/>
                <w:sz w:val="24"/>
                <w:szCs w:val="28"/>
                <w:lang w:val="vi-VN" w:eastAsia="en-US"/>
              </w:rPr>
              <w:t>- Đối với các giải thể thao quần chúng còn lại (quy định tại khoản 3 Điều 13 Luật thể dục thể thao 2006 được sửa đổi, bổ sung tại Luật thể dục thể thao 2018): Cơ quan, tổ chức phê duyệt mức chi đối với giải thi đấu thuộc phạm vi quản lý phù hợp với khả năng cân đối và tình hình thực tế của cơ quan, tổ chức theo đúng quy định tại khoản 4 Điều 13 Luật thể dục thể thao 2006 được sửa đổi, bổ sung tại Luật thể dục thể thao 2018 và khoản 2 Điều 7 Thông tư số 117/2025/TT-BTC ngày 16/12/2025 của Bộ Tài chính.</w:t>
            </w:r>
          </w:p>
        </w:tc>
        <w:tc>
          <w:tcPr>
            <w:tcW w:w="5386" w:type="dxa"/>
            <w:shd w:val="clear" w:color="auto" w:fill="auto"/>
          </w:tcPr>
          <w:p>
            <w:pPr>
              <w:spacing w:after="0"/>
              <w:rPr>
                <w:rFonts w:eastAsia="Times New Roman" w:cs="Times New Roman"/>
                <w:bCs/>
                <w:sz w:val="24"/>
                <w:szCs w:val="24"/>
                <w:lang w:val="vi-VN"/>
              </w:rPr>
            </w:pPr>
          </w:p>
          <w:p>
            <w:pPr>
              <w:spacing w:after="0"/>
              <w:rPr>
                <w:rFonts w:eastAsia="Times New Roman" w:cs="Times New Roman"/>
                <w:bCs/>
                <w:sz w:val="24"/>
                <w:szCs w:val="24"/>
                <w:lang w:val="vi-VN"/>
              </w:rPr>
            </w:pPr>
          </w:p>
          <w:p>
            <w:pPr>
              <w:spacing w:after="0"/>
              <w:rPr>
                <w:rFonts w:eastAsia="Times New Roman" w:cs="Times New Roman"/>
                <w:bCs/>
                <w:sz w:val="24"/>
                <w:szCs w:val="24"/>
              </w:rPr>
            </w:pPr>
            <w:r>
              <w:rPr>
                <w:rFonts w:eastAsia="Times New Roman" w:cs="Times New Roman"/>
                <w:bCs/>
                <w:sz w:val="24"/>
                <w:szCs w:val="24"/>
              </w:rPr>
              <w:t>Giải trình:</w:t>
            </w:r>
            <w:r>
              <w:rPr>
                <w:rFonts w:cs="Times New Roman"/>
                <w:sz w:val="24"/>
                <w:szCs w:val="24"/>
              </w:rPr>
              <w:t xml:space="preserve"> Khoản 1 Điều 7 Thông tư số 117/2025/TT-BTC ngày 16/12/2025 của Bộ trưởng Bộ Tài chính</w:t>
            </w:r>
            <w:r>
              <w:rPr>
                <w:rFonts w:eastAsia="Times New Roman" w:cs="Times New Roman"/>
                <w:bCs/>
                <w:sz w:val="24"/>
                <w:szCs w:val="24"/>
              </w:rPr>
              <w:t xml:space="preserve"> quy định UBND tỉnh trình Hội đồng nhân dân tỉnh quy định các mức chi cụ thể để tổ chức các giải thể thao do địa phương tổ chức. Do đó, dự thảo Nghị quyết quy định đối với các giải thể thao trong phạm vi tỉnh Hà Tĩnh bao gồm giải thể thao cấp tỉnh và giải thể thao cấp xã là đúng với quy định </w:t>
            </w:r>
          </w:p>
          <w:p>
            <w:pPr>
              <w:spacing w:after="0"/>
              <w:rPr>
                <w:rFonts w:eastAsia="Times New Roman"/>
                <w:bCs/>
                <w:sz w:val="24"/>
                <w:szCs w:val="24"/>
              </w:rPr>
            </w:pPr>
          </w:p>
          <w:p>
            <w:pPr>
              <w:spacing w:after="0"/>
              <w:rPr>
                <w:rFonts w:eastAsia="Times New Roman"/>
                <w:bCs/>
                <w:sz w:val="24"/>
                <w:szCs w:val="24"/>
              </w:rPr>
            </w:pPr>
          </w:p>
          <w:p>
            <w:pPr>
              <w:spacing w:after="0"/>
              <w:rPr>
                <w:rFonts w:eastAsia="Times New Roman"/>
                <w:bCs/>
                <w:sz w:val="24"/>
                <w:szCs w:val="24"/>
              </w:rPr>
            </w:pPr>
            <w:r>
              <w:rPr>
                <w:rFonts w:eastAsia="Times New Roman"/>
                <w:bCs/>
                <w:sz w:val="24"/>
                <w:szCs w:val="24"/>
              </w:rPr>
              <w:t>Cơ quan soạn thảo đã lấy ý kiến các xã, phường để nghiên cứu xây dựng mức chi phù hợp nhất</w:t>
            </w:r>
          </w:p>
          <w:p>
            <w:pPr>
              <w:spacing w:after="0"/>
              <w:rPr>
                <w:rFonts w:eastAsia="Times New Roman"/>
                <w:bCs/>
                <w:sz w:val="24"/>
                <w:szCs w:val="24"/>
              </w:rPr>
            </w:pPr>
          </w:p>
          <w:p>
            <w:pPr>
              <w:spacing w:after="0"/>
              <w:rPr>
                <w:rFonts w:eastAsia="Times New Roman" w:cs="Times New Roman"/>
                <w:bCs/>
                <w:sz w:val="24"/>
                <w:szCs w:val="24"/>
                <w:lang w:val="vi-VN"/>
              </w:rPr>
            </w:pPr>
          </w:p>
          <w:p>
            <w:pPr>
              <w:spacing w:after="0"/>
              <w:rPr>
                <w:rFonts w:eastAsia="Times New Roman" w:cs="Times New Roman"/>
                <w:bCs/>
                <w:sz w:val="24"/>
                <w:szCs w:val="24"/>
                <w:lang w:val="vi-VN"/>
              </w:rPr>
            </w:pPr>
          </w:p>
          <w:p>
            <w:pPr>
              <w:spacing w:after="0"/>
              <w:rPr>
                <w:rFonts w:eastAsia="Times New Roman" w:cs="Times New Roman"/>
                <w:bCs/>
                <w:sz w:val="24"/>
                <w:szCs w:val="24"/>
                <w:lang w:val="vi-VN"/>
              </w:rPr>
            </w:pPr>
          </w:p>
          <w:p>
            <w:pPr>
              <w:spacing w:after="0"/>
              <w:rPr>
                <w:rFonts w:eastAsia="Times New Roman" w:cs="Times New Roman"/>
                <w:bCs/>
                <w:sz w:val="24"/>
                <w:szCs w:val="24"/>
                <w:lang w:val="vi-VN"/>
              </w:rPr>
            </w:pPr>
            <w:r>
              <w:rPr>
                <w:rFonts w:eastAsia="Times New Roman" w:cs="Times New Roman"/>
                <w:bCs/>
                <w:sz w:val="24"/>
                <w:szCs w:val="24"/>
                <w:lang w:val="vi-VN"/>
              </w:rPr>
              <w:t xml:space="preserve">Các </w:t>
            </w:r>
            <w:r>
              <w:rPr>
                <w:rFonts w:cs="Times New Roman"/>
                <w:sz w:val="24"/>
                <w:szCs w:val="24"/>
                <w:lang w:val="vi-VN"/>
              </w:rPr>
              <w:t xml:space="preserve">giải thể thao quần chúng </w:t>
            </w:r>
            <w:r>
              <w:rPr>
                <w:sz w:val="24"/>
                <w:szCs w:val="24"/>
                <w:lang w:val="vi-VN"/>
              </w:rPr>
              <w:t xml:space="preserve">(trừ phạm vi quy định tại khoản 1 Điều 1 dự thảo Nghị quyết này) không giao </w:t>
            </w:r>
            <w:r>
              <w:rPr>
                <w:rFonts w:cs="Times New Roman"/>
                <w:iCs/>
                <w:sz w:val="24"/>
                <w:szCs w:val="24"/>
                <w:lang w:val="vi-VN"/>
              </w:rPr>
              <w:t xml:space="preserve">Hội đồng nhân dân tỉnh quy định mức chi cụ </w:t>
            </w:r>
            <w:r>
              <w:rPr>
                <w:iCs/>
                <w:sz w:val="24"/>
                <w:szCs w:val="24"/>
                <w:lang w:val="vi-VN"/>
              </w:rPr>
              <w:t>thể,</w:t>
            </w:r>
            <w:r>
              <w:rPr>
                <w:rFonts w:cs="Times New Roman"/>
                <w:iCs/>
                <w:sz w:val="24"/>
                <w:szCs w:val="24"/>
                <w:lang w:val="vi-VN"/>
              </w:rPr>
              <w:t xml:space="preserve"> do đó</w:t>
            </w:r>
            <w:r>
              <w:rPr>
                <w:sz w:val="24"/>
                <w:szCs w:val="24"/>
                <w:lang w:val="vi-VN"/>
              </w:rPr>
              <w:t xml:space="preserve"> </w:t>
            </w:r>
            <w:r>
              <w:rPr>
                <w:iCs/>
                <w:sz w:val="24"/>
                <w:szCs w:val="24"/>
                <w:lang w:val="vi-VN"/>
              </w:rPr>
              <w:t xml:space="preserve">cơ quan soản thảo </w:t>
            </w:r>
            <w:r>
              <w:rPr>
                <w:rFonts w:cs="Times New Roman"/>
                <w:iCs/>
                <w:sz w:val="24"/>
                <w:szCs w:val="24"/>
                <w:lang w:val="vi-VN"/>
              </w:rPr>
              <w:t>không đưa vào dự thảo Nghị quyết</w:t>
            </w:r>
            <w:r>
              <w:rPr>
                <w:rFonts w:eastAsia="Times New Roman"/>
                <w:bCs/>
                <w:sz w:val="24"/>
                <w:szCs w:val="24"/>
                <w:lang w:val="vi-VN"/>
              </w:rPr>
              <w:t xml:space="preserve"> để quy định mức</w:t>
            </w:r>
          </w:p>
        </w:tc>
      </w:tr>
      <w:tr>
        <w:tc>
          <w:tcPr>
            <w:tcW w:w="1555" w:type="dxa"/>
          </w:tcPr>
          <w:p>
            <w:pPr>
              <w:spacing w:after="0"/>
              <w:rPr>
                <w:rFonts w:eastAsia="Times New Roman" w:cs="Times New Roman"/>
                <w:b/>
                <w:bCs/>
                <w:sz w:val="24"/>
                <w:szCs w:val="24"/>
                <w:lang w:val="vi-VN"/>
              </w:rPr>
            </w:pPr>
          </w:p>
        </w:tc>
        <w:tc>
          <w:tcPr>
            <w:tcW w:w="2835" w:type="dxa"/>
            <w:shd w:val="clear" w:color="auto" w:fill="auto"/>
            <w:vAlign w:val="center"/>
          </w:tcPr>
          <w:p>
            <w:pPr>
              <w:spacing w:after="0"/>
              <w:rPr>
                <w:rFonts w:eastAsia="Times New Roman" w:cs="Times New Roman"/>
                <w:b/>
                <w:bCs/>
                <w:sz w:val="24"/>
                <w:szCs w:val="24"/>
                <w:lang w:val="vi-VN"/>
              </w:rPr>
            </w:pPr>
            <w:r>
              <w:rPr>
                <w:rFonts w:eastAsia="Times New Roman" w:cs="Times New Roman"/>
                <w:b/>
                <w:bCs/>
                <w:sz w:val="24"/>
                <w:szCs w:val="24"/>
                <w:lang w:val="vi-VN"/>
              </w:rPr>
              <w:t>Sở Xây dựng</w:t>
            </w:r>
          </w:p>
          <w:p>
            <w:pPr>
              <w:spacing w:after="0"/>
              <w:rPr>
                <w:rFonts w:eastAsia="Times New Roman" w:cs="Times New Roman"/>
                <w:bCs/>
                <w:sz w:val="24"/>
                <w:szCs w:val="24"/>
                <w:lang w:val="vi-VN"/>
              </w:rPr>
            </w:pPr>
            <w:r>
              <w:rPr>
                <w:rFonts w:eastAsia="Times New Roman" w:cs="Times New Roman"/>
                <w:bCs/>
                <w:sz w:val="24"/>
                <w:szCs w:val="24"/>
                <w:lang w:val="vi-VN"/>
              </w:rPr>
              <w:t>Văn bản số 2686/SXD-VP ngày 15/5/2026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rPr>
            </w:pPr>
          </w:p>
        </w:tc>
      </w:tr>
      <w:tr>
        <w:trPr>
          <w:trHeight w:val="486"/>
        </w:trP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Sở Giáo dục - Đào tạo</w:t>
            </w:r>
          </w:p>
          <w:p>
            <w:pPr>
              <w:spacing w:after="0"/>
              <w:rPr>
                <w:rFonts w:eastAsia="Times New Roman" w:cs="Times New Roman"/>
                <w:bCs/>
                <w:sz w:val="24"/>
                <w:szCs w:val="24"/>
              </w:rPr>
            </w:pPr>
            <w:r>
              <w:rPr>
                <w:rFonts w:eastAsia="Times New Roman" w:cs="Times New Roman"/>
                <w:bCs/>
                <w:sz w:val="24"/>
                <w:szCs w:val="24"/>
              </w:rPr>
              <w:t>Văn bản số 1623/SGDĐT-VP ngày 15/5/2026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rPr>
            </w:pPr>
          </w:p>
        </w:tc>
      </w:tr>
      <w:t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Sở Ngoại vụ</w:t>
            </w:r>
          </w:p>
          <w:p>
            <w:pPr>
              <w:spacing w:after="0"/>
              <w:rPr>
                <w:rFonts w:eastAsia="Times New Roman" w:cs="Times New Roman"/>
                <w:b/>
                <w:bCs/>
                <w:sz w:val="24"/>
                <w:szCs w:val="24"/>
              </w:rPr>
            </w:pPr>
            <w:r>
              <w:rPr>
                <w:rFonts w:eastAsia="Times New Roman" w:cs="Times New Roman"/>
                <w:bCs/>
                <w:sz w:val="24"/>
                <w:szCs w:val="24"/>
              </w:rPr>
              <w:t>Văn bản số 773/SNgV-VP ngày 18/5/2026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rPr>
            </w:pPr>
          </w:p>
        </w:tc>
      </w:tr>
      <w:t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Sở Nội vụ</w:t>
            </w:r>
          </w:p>
          <w:p>
            <w:pPr>
              <w:spacing w:after="0"/>
              <w:rPr>
                <w:rFonts w:eastAsia="Times New Roman" w:cs="Times New Roman"/>
                <w:bCs/>
                <w:sz w:val="24"/>
                <w:szCs w:val="24"/>
              </w:rPr>
            </w:pPr>
            <w:r>
              <w:rPr>
                <w:rFonts w:eastAsia="Times New Roman" w:cs="Times New Roman"/>
                <w:bCs/>
                <w:sz w:val="24"/>
                <w:szCs w:val="24"/>
              </w:rPr>
              <w:lastRenderedPageBreak/>
              <w:t>Văn bản số 2747/SNV-VP ngày 15/5/2026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lastRenderedPageBreak/>
              <w:t>Thống nhất Dự thảo</w:t>
            </w:r>
          </w:p>
        </w:tc>
        <w:tc>
          <w:tcPr>
            <w:tcW w:w="5386" w:type="dxa"/>
            <w:shd w:val="clear" w:color="auto" w:fill="auto"/>
          </w:tcPr>
          <w:p>
            <w:pPr>
              <w:spacing w:after="0"/>
              <w:rPr>
                <w:rFonts w:eastAsia="Times New Roman" w:cs="Times New Roman"/>
                <w:bCs/>
                <w:sz w:val="24"/>
                <w:szCs w:val="24"/>
              </w:rPr>
            </w:pPr>
          </w:p>
        </w:tc>
      </w:tr>
      <w:t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Thanh tra tỉnh</w:t>
            </w:r>
          </w:p>
          <w:p>
            <w:pPr>
              <w:spacing w:after="0"/>
              <w:rPr>
                <w:rFonts w:eastAsia="Times New Roman" w:cs="Times New Roman"/>
                <w:b/>
                <w:bCs/>
                <w:sz w:val="24"/>
                <w:szCs w:val="24"/>
              </w:rPr>
            </w:pPr>
            <w:r>
              <w:rPr>
                <w:rFonts w:eastAsia="Times New Roman" w:cs="Times New Roman"/>
                <w:bCs/>
                <w:sz w:val="24"/>
                <w:szCs w:val="24"/>
              </w:rPr>
              <w:t>Văn bản số 746/TT-NV3 ngày 18/5/2026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rPr>
            </w:pPr>
          </w:p>
        </w:tc>
      </w:tr>
      <w:t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Kho bạc nhà nước KVXII</w:t>
            </w:r>
          </w:p>
          <w:p>
            <w:pPr>
              <w:spacing w:after="0"/>
              <w:rPr>
                <w:rFonts w:eastAsia="Times New Roman" w:cs="Times New Roman"/>
                <w:b/>
                <w:bCs/>
                <w:sz w:val="24"/>
                <w:szCs w:val="24"/>
              </w:rPr>
            </w:pPr>
            <w:r>
              <w:rPr>
                <w:rFonts w:eastAsia="Times New Roman" w:cs="Times New Roman"/>
                <w:bCs/>
                <w:sz w:val="24"/>
                <w:szCs w:val="24"/>
              </w:rPr>
              <w:t>Văn bản số 401/KBXII-KTNN ngày 18/5/2026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rPr>
            </w:pPr>
          </w:p>
        </w:tc>
      </w:tr>
      <w:t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Ban QLDAKV khu kinh tế</w:t>
            </w:r>
          </w:p>
          <w:p>
            <w:pPr>
              <w:spacing w:after="0"/>
              <w:rPr>
                <w:rFonts w:eastAsia="Times New Roman" w:cs="Times New Roman"/>
                <w:bCs/>
                <w:sz w:val="24"/>
                <w:szCs w:val="24"/>
              </w:rPr>
            </w:pPr>
            <w:r>
              <w:rPr>
                <w:rFonts w:eastAsia="Times New Roman" w:cs="Times New Roman"/>
                <w:bCs/>
                <w:sz w:val="24"/>
                <w:szCs w:val="24"/>
              </w:rPr>
              <w:t>Văn bản số 502/BQLDA-TCTH ngày 19/5/2026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rPr>
            </w:pPr>
          </w:p>
        </w:tc>
      </w:tr>
      <w:t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Công an tỉnh</w:t>
            </w:r>
          </w:p>
          <w:p>
            <w:pPr>
              <w:spacing w:after="0"/>
              <w:rPr>
                <w:rFonts w:eastAsia="Times New Roman" w:cs="Times New Roman"/>
                <w:b/>
                <w:bCs/>
                <w:sz w:val="24"/>
                <w:szCs w:val="24"/>
              </w:rPr>
            </w:pPr>
            <w:r>
              <w:rPr>
                <w:rFonts w:eastAsia="Times New Roman" w:cs="Times New Roman"/>
                <w:bCs/>
                <w:sz w:val="24"/>
                <w:szCs w:val="24"/>
              </w:rPr>
              <w:t>Văn bản số 856/CAT-PV01 ngày 19/5/2026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lang w:val="vi-VN"/>
              </w:rPr>
            </w:pPr>
          </w:p>
        </w:tc>
      </w:tr>
      <w:t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Bộ CHQS tỉnh</w:t>
            </w:r>
          </w:p>
          <w:p>
            <w:pPr>
              <w:spacing w:after="0"/>
              <w:rPr>
                <w:rFonts w:eastAsia="Times New Roman" w:cs="Times New Roman"/>
                <w:b/>
                <w:bCs/>
                <w:sz w:val="24"/>
                <w:szCs w:val="24"/>
              </w:rPr>
            </w:pPr>
            <w:r>
              <w:rPr>
                <w:rFonts w:eastAsia="Times New Roman" w:cs="Times New Roman"/>
                <w:bCs/>
                <w:sz w:val="24"/>
                <w:szCs w:val="24"/>
              </w:rPr>
              <w:t>Văn bản số 1870/BCH-TM ngày 18/5/2026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rPr>
            </w:pPr>
          </w:p>
        </w:tc>
      </w:tr>
      <w:t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Bảo hiểm xã hội tỉnh</w:t>
            </w:r>
          </w:p>
          <w:p>
            <w:pPr>
              <w:spacing w:after="0"/>
              <w:rPr>
                <w:rFonts w:eastAsia="Times New Roman" w:cs="Times New Roman"/>
                <w:bCs/>
                <w:sz w:val="24"/>
                <w:szCs w:val="24"/>
              </w:rPr>
            </w:pPr>
            <w:r>
              <w:rPr>
                <w:rFonts w:eastAsia="Times New Roman" w:cs="Times New Roman"/>
                <w:bCs/>
                <w:sz w:val="24"/>
                <w:szCs w:val="24"/>
              </w:rPr>
              <w:t>Văn bản số 914/BHXH-TCHC ngày 14/5/2026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rPr>
            </w:pPr>
          </w:p>
        </w:tc>
      </w:tr>
      <w:tr>
        <w:trPr>
          <w:trHeight w:val="804"/>
        </w:trPr>
        <w:tc>
          <w:tcPr>
            <w:tcW w:w="1555" w:type="dxa"/>
          </w:tcPr>
          <w:p>
            <w:pPr>
              <w:spacing w:after="0"/>
              <w:rPr>
                <w:rFonts w:eastAsia="Times New Roman" w:cs="Times New Roman"/>
                <w:b/>
                <w:bCs/>
                <w:sz w:val="24"/>
                <w:szCs w:val="24"/>
              </w:rPr>
            </w:pPr>
          </w:p>
        </w:tc>
        <w:tc>
          <w:tcPr>
            <w:tcW w:w="2835" w:type="dxa"/>
            <w:shd w:val="clear" w:color="auto" w:fill="auto"/>
            <w:vAlign w:val="center"/>
          </w:tcPr>
          <w:p>
            <w:pPr>
              <w:spacing w:after="0"/>
              <w:rPr>
                <w:rFonts w:eastAsia="Times New Roman" w:cs="Times New Roman"/>
                <w:b/>
                <w:bCs/>
                <w:sz w:val="24"/>
                <w:szCs w:val="24"/>
              </w:rPr>
            </w:pPr>
            <w:r>
              <w:rPr>
                <w:rFonts w:eastAsia="Times New Roman" w:cs="Times New Roman"/>
                <w:b/>
                <w:bCs/>
                <w:sz w:val="24"/>
                <w:szCs w:val="24"/>
              </w:rPr>
              <w:t>Trường cao đẳng y tế</w:t>
            </w:r>
          </w:p>
          <w:p>
            <w:pPr>
              <w:spacing w:after="0"/>
              <w:rPr>
                <w:rFonts w:eastAsia="Times New Roman" w:cs="Times New Roman"/>
                <w:bCs/>
                <w:sz w:val="24"/>
                <w:szCs w:val="24"/>
              </w:rPr>
            </w:pPr>
            <w:r>
              <w:rPr>
                <w:rFonts w:eastAsia="Times New Roman" w:cs="Times New Roman"/>
                <w:bCs/>
                <w:sz w:val="24"/>
                <w:szCs w:val="24"/>
              </w:rPr>
              <w:t>Văn bản số 262/CĐYT-HCTH ngày 14/5/2026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cs="Times New Roman"/>
                <w:bCs/>
                <w:sz w:val="24"/>
                <w:szCs w:val="24"/>
              </w:rPr>
            </w:pPr>
          </w:p>
        </w:tc>
      </w:tr>
      <w:tr>
        <w:tc>
          <w:tcPr>
            <w:tcW w:w="1555" w:type="dxa"/>
          </w:tcPr>
          <w:p>
            <w:pPr>
              <w:spacing w:after="0"/>
              <w:rPr>
                <w:rFonts w:eastAsia="Times New Roman"/>
                <w:b/>
                <w:bCs/>
                <w:sz w:val="24"/>
                <w:szCs w:val="24"/>
              </w:rPr>
            </w:pPr>
          </w:p>
        </w:tc>
        <w:tc>
          <w:tcPr>
            <w:tcW w:w="2835" w:type="dxa"/>
            <w:shd w:val="clear" w:color="auto" w:fill="auto"/>
            <w:vAlign w:val="center"/>
          </w:tcPr>
          <w:p>
            <w:pPr>
              <w:spacing w:after="0"/>
              <w:rPr>
                <w:rFonts w:eastAsia="Times New Roman"/>
                <w:b/>
                <w:bCs/>
                <w:sz w:val="24"/>
                <w:szCs w:val="24"/>
              </w:rPr>
            </w:pPr>
            <w:r>
              <w:rPr>
                <w:rFonts w:eastAsia="Times New Roman"/>
                <w:b/>
                <w:bCs/>
                <w:sz w:val="24"/>
                <w:szCs w:val="24"/>
              </w:rPr>
              <w:t>Ban quản lý Khu kinh tế tỉnh Hà Tĩnh</w:t>
            </w:r>
          </w:p>
          <w:p>
            <w:pPr>
              <w:spacing w:after="0"/>
              <w:rPr>
                <w:rFonts w:eastAsia="Times New Roman"/>
                <w:b/>
                <w:bCs/>
                <w:sz w:val="24"/>
                <w:szCs w:val="24"/>
              </w:rPr>
            </w:pPr>
            <w:r>
              <w:rPr>
                <w:rFonts w:eastAsia="Times New Roman" w:cs="Times New Roman"/>
                <w:bCs/>
                <w:sz w:val="24"/>
                <w:szCs w:val="24"/>
              </w:rPr>
              <w:t xml:space="preserve">Văn bản số </w:t>
            </w:r>
            <w:r>
              <w:rPr>
                <w:rFonts w:eastAsia="Times New Roman"/>
                <w:bCs/>
                <w:sz w:val="24"/>
                <w:szCs w:val="24"/>
              </w:rPr>
              <w:t>1107</w:t>
            </w:r>
            <w:r>
              <w:rPr>
                <w:rFonts w:eastAsia="Times New Roman" w:cs="Times New Roman"/>
                <w:bCs/>
                <w:sz w:val="24"/>
                <w:szCs w:val="24"/>
              </w:rPr>
              <w:t>/CĐYT-HCTH ngày 14/5/2026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Thống nhất Dự thảo</w:t>
            </w:r>
          </w:p>
        </w:tc>
        <w:tc>
          <w:tcPr>
            <w:tcW w:w="5386" w:type="dxa"/>
            <w:shd w:val="clear" w:color="auto" w:fill="auto"/>
          </w:tcPr>
          <w:p>
            <w:pPr>
              <w:spacing w:after="0"/>
              <w:rPr>
                <w:rFonts w:eastAsia="Times New Roman"/>
                <w:bCs/>
                <w:sz w:val="24"/>
                <w:szCs w:val="24"/>
              </w:rPr>
            </w:pPr>
          </w:p>
        </w:tc>
      </w:tr>
      <w:tr>
        <w:trPr>
          <w:trHeight w:val="3290"/>
        </w:trPr>
        <w:tc>
          <w:tcPr>
            <w:tcW w:w="1555" w:type="dxa"/>
          </w:tcPr>
          <w:p>
            <w:pPr>
              <w:spacing w:after="0"/>
              <w:rPr>
                <w:rFonts w:eastAsiaTheme="minorHAnsi"/>
                <w:sz w:val="24"/>
                <w:szCs w:val="28"/>
                <w:lang w:val="vi-VN" w:eastAsia="en-US"/>
              </w:rPr>
            </w:pPr>
          </w:p>
        </w:tc>
        <w:tc>
          <w:tcPr>
            <w:tcW w:w="2835" w:type="dxa"/>
            <w:shd w:val="clear" w:color="auto" w:fill="auto"/>
          </w:tcPr>
          <w:p>
            <w:pPr>
              <w:spacing w:after="0"/>
              <w:rPr>
                <w:rFonts w:eastAsiaTheme="minorHAnsi"/>
                <w:b/>
                <w:sz w:val="24"/>
                <w:szCs w:val="28"/>
                <w:lang w:val="vi-VN" w:eastAsia="en-US"/>
              </w:rPr>
            </w:pPr>
            <w:r>
              <w:rPr>
                <w:rFonts w:eastAsiaTheme="minorHAnsi"/>
                <w:b/>
                <w:sz w:val="24"/>
                <w:szCs w:val="28"/>
                <w:lang w:val="vi-VN" w:eastAsia="en-US"/>
              </w:rPr>
              <w:t>UBND Xã Xuân Lộc</w:t>
            </w:r>
          </w:p>
          <w:p>
            <w:pPr>
              <w:spacing w:after="0"/>
              <w:rPr>
                <w:rFonts w:eastAsiaTheme="minorHAnsi"/>
                <w:sz w:val="24"/>
                <w:szCs w:val="28"/>
                <w:lang w:val="vi-VN" w:eastAsia="en-US"/>
              </w:rPr>
            </w:pPr>
            <w:r>
              <w:rPr>
                <w:rFonts w:eastAsiaTheme="minorHAnsi"/>
                <w:sz w:val="24"/>
                <w:szCs w:val="28"/>
                <w:lang w:val="vi-VN" w:eastAsia="en-US"/>
              </w:rPr>
              <w:t>Văn bản số 1078/UBND-VHXH ngày 19/5/2026</w:t>
            </w:r>
          </w:p>
          <w:p>
            <w:pPr>
              <w:spacing w:after="0"/>
              <w:rPr>
                <w:rFonts w:eastAsiaTheme="minorHAnsi"/>
                <w:sz w:val="24"/>
                <w:szCs w:val="28"/>
                <w:lang w:val="vi-VN" w:eastAsia="en-US"/>
              </w:rPr>
            </w:pP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1. Đề xuất mức chi cho trọng tài chính, trọng tài khác ở các môn bóng chuyền, bóng đá, futsal đối cấp xã bằng với mức chi của cấp tỉnh và theo Thông tư 117/2025/TT-BTC của Bộ Tài chính quy định. Lý do: ở cơ sở chưa có chuyên môn sâu về công tác trọng tài và phải thuê trọng tài ngoài nên kinh phí cần phải được đảm bảo.</w:t>
            </w:r>
          </w:p>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2. Đề xuất bổ sung thêm mức chi đối với vận động viên của xã/phường tham gia thi đấu tại các giải thi đấu, hội thi, hội thao do cấp trên tổ chức.</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Việc xây dựng mức chi cấp tỉnh thấp hơn của trung ương (tương đương 85%) và cấp xã thấp hơn mức chi cấp tỉnh (tương đương 85%) nhằm phân định rõ về tính chất, quy mô, hình thức và yêu cầu nhiệm vụ của từng cấp.</w:t>
            </w:r>
            <w:r>
              <w:rPr>
                <w:rFonts w:eastAsiaTheme="minorHAnsi"/>
                <w:sz w:val="24"/>
                <w:szCs w:val="28"/>
                <w:lang w:val="vi-VN" w:eastAsia="en-US"/>
              </w:rPr>
              <w:t xml:space="preserve"> Đối với trọng tài môn bóng đá cũng cần theo tỷ lệ chung để đảm bảo sự cân bằng, Nghị quyết quy định mức chi hỗ trợ các đối tượng tham gia tổ chức các giải thi đấu thể thao, không quy định chính sách để thuê trọng tài. </w:t>
            </w:r>
          </w:p>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Nghị quyết này quy định mức chi cho đối tượng tham gia làm nhiệm vụ tổ chức giải thi đấu thể thao để làm căn cứ cho việc lập dự toán tổ chức các giải thi đấu thê thao, vận động viên không phải đối tượng làm nhiệm vụ tổ chức giải</w:t>
            </w:r>
          </w:p>
        </w:tc>
      </w:tr>
      <w:tr>
        <w:trPr>
          <w:trHeight w:val="2402"/>
        </w:trPr>
        <w:tc>
          <w:tcPr>
            <w:tcW w:w="1555" w:type="dxa"/>
          </w:tcPr>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Về đối tượng</w:t>
            </w:r>
          </w:p>
          <w:p>
            <w:pPr>
              <w:spacing w:after="0"/>
              <w:rPr>
                <w:rFonts w:eastAsiaTheme="minorHAnsi"/>
                <w:sz w:val="24"/>
                <w:szCs w:val="28"/>
                <w:lang w:val="vi-VN" w:eastAsia="en-US"/>
              </w:rPr>
            </w:pPr>
          </w:p>
          <w:p>
            <w:pPr>
              <w:spacing w:after="0"/>
              <w:rPr>
                <w:rFonts w:eastAsiaTheme="minorHAnsi"/>
                <w:sz w:val="24"/>
                <w:szCs w:val="28"/>
                <w:lang w:val="vi-VN" w:eastAsia="en-US"/>
              </w:rPr>
            </w:pPr>
          </w:p>
        </w:tc>
        <w:tc>
          <w:tcPr>
            <w:tcW w:w="2835" w:type="dxa"/>
            <w:shd w:val="clear" w:color="auto" w:fill="auto"/>
          </w:tcPr>
          <w:p>
            <w:pPr>
              <w:spacing w:after="0"/>
              <w:rPr>
                <w:rFonts w:eastAsiaTheme="minorHAnsi"/>
                <w:b/>
                <w:sz w:val="24"/>
                <w:szCs w:val="28"/>
                <w:lang w:val="vi-VN" w:eastAsia="en-US"/>
              </w:rPr>
            </w:pPr>
            <w:r>
              <w:rPr>
                <w:rFonts w:eastAsiaTheme="minorHAnsi"/>
                <w:b/>
                <w:sz w:val="24"/>
                <w:szCs w:val="28"/>
                <w:lang w:val="vi-VN" w:eastAsia="en-US"/>
              </w:rPr>
              <w:t>UBND xã Trường Lưu</w:t>
            </w:r>
          </w:p>
          <w:p>
            <w:pPr>
              <w:spacing w:after="0"/>
              <w:rPr>
                <w:rFonts w:eastAsiaTheme="minorHAnsi"/>
                <w:sz w:val="24"/>
                <w:szCs w:val="28"/>
                <w:lang w:val="vi-VN" w:eastAsia="en-US"/>
              </w:rPr>
            </w:pPr>
            <w:r>
              <w:rPr>
                <w:rFonts w:eastAsiaTheme="minorHAnsi"/>
                <w:sz w:val="24"/>
                <w:szCs w:val="28"/>
                <w:lang w:val="vi-VN" w:eastAsia="en-US"/>
              </w:rPr>
              <w:t>Văn bản số 1340/BC-UBND ngày 21/5/2026</w:t>
            </w: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lastRenderedPageBreak/>
              <w:t>- Làm rõ phạm vi áp dụng đối với các giải thể thao do các tổ chức xã hội, tổ chức nghề nghiệp phối hợp tổ chức nhưng có sử dụng một phần ngân sách nhà nước;  Bổ sung quy định áp dụng đối với các giải thể thao cấp cụm xã hoặc giải phong trào quần chúng nhằm thuận lợi trong quá trình triển khai thực hiện tại cơ sở sau khi thực hiện mô hình chính quyền địa phương 2 cấp.</w:t>
            </w:r>
          </w:p>
          <w:p>
            <w:pPr>
              <w:spacing w:after="0"/>
              <w:ind w:firstLine="34"/>
              <w:rPr>
                <w:rFonts w:eastAsiaTheme="minorHAnsi"/>
                <w:sz w:val="24"/>
                <w:szCs w:val="28"/>
                <w:lang w:val="vi-VN" w:eastAsia="en-US"/>
              </w:rPr>
            </w:pPr>
            <w:r>
              <w:rPr>
                <w:rFonts w:eastAsiaTheme="minorHAnsi"/>
                <w:sz w:val="24"/>
                <w:szCs w:val="28"/>
                <w:lang w:val="vi-VN" w:eastAsia="en-US"/>
              </w:rPr>
              <w:t>Đề nghị nghiên cứu điều chỉnh tăng một số mức chi cấp xã đối với: Nhân viên phục vụ, y tế, lực lượng bảo vệ; Thành viên các tiểu ban chuyên môn; Người tham gia đồng diễn, xếp hình, xếp chữ.</w:t>
            </w:r>
          </w:p>
          <w:p>
            <w:pPr>
              <w:spacing w:after="0"/>
              <w:ind w:firstLine="34"/>
              <w:rPr>
                <w:rFonts w:eastAsiaTheme="minorHAnsi"/>
                <w:sz w:val="24"/>
                <w:szCs w:val="28"/>
                <w:lang w:val="vi-VN" w:eastAsia="en-US"/>
              </w:rPr>
            </w:pPr>
            <w:r>
              <w:rPr>
                <w:rFonts w:eastAsiaTheme="minorHAnsi"/>
                <w:sz w:val="24"/>
                <w:szCs w:val="28"/>
                <w:lang w:val="vi-VN" w:eastAsia="en-US"/>
              </w:rPr>
              <w:t>Đề nghị bổ sung quy định:</w:t>
            </w:r>
          </w:p>
          <w:p>
            <w:pPr>
              <w:spacing w:after="0"/>
              <w:ind w:firstLine="34"/>
              <w:rPr>
                <w:rFonts w:eastAsiaTheme="minorHAnsi"/>
                <w:sz w:val="24"/>
                <w:szCs w:val="28"/>
                <w:lang w:val="vi-VN" w:eastAsia="en-US"/>
              </w:rPr>
            </w:pPr>
            <w:r>
              <w:rPr>
                <w:rFonts w:eastAsiaTheme="minorHAnsi"/>
                <w:sz w:val="24"/>
                <w:szCs w:val="28"/>
                <w:lang w:val="vi-VN" w:eastAsia="en-US"/>
              </w:rPr>
              <w:t>- Chế độ thanh toán đối với trọng tài ngoài tỉnh hoặc trọng tài cấp quốc gia được mời tham gia điều hành giải.</w:t>
            </w:r>
          </w:p>
          <w:p>
            <w:pPr>
              <w:spacing w:after="0"/>
              <w:ind w:firstLine="34"/>
              <w:rPr>
                <w:rFonts w:eastAsiaTheme="minorHAnsi"/>
                <w:sz w:val="24"/>
                <w:szCs w:val="28"/>
                <w:lang w:val="vi-VN" w:eastAsia="en-US"/>
              </w:rPr>
            </w:pPr>
            <w:r>
              <w:rPr>
                <w:rFonts w:eastAsiaTheme="minorHAnsi"/>
                <w:sz w:val="24"/>
                <w:szCs w:val="28"/>
                <w:lang w:val="vi-VN" w:eastAsia="en-US"/>
              </w:rPr>
              <w:t>- Về số buổi tổng duyệt: Dự thảo quy định tổng duyệt tối đa 02 buổi đối với người tham gia đồng diễn, xếp hình, xếp chữ. Đề nghị xem xét quy định linh hoạt hơn đối với các sự kiện quy mô lớn như Đại hội Thể dục thể thao cấp tỉnh hoặc Hội khỏe Phù Đổng có số lượng người tham gia đông, yêu cầu kỹ thuật cao.</w:t>
            </w:r>
          </w:p>
          <w:p>
            <w:pPr>
              <w:spacing w:after="0"/>
              <w:ind w:firstLine="34"/>
              <w:rPr>
                <w:rFonts w:eastAsiaTheme="minorHAnsi"/>
                <w:sz w:val="24"/>
                <w:szCs w:val="28"/>
                <w:lang w:val="vi-VN" w:eastAsia="en-US"/>
              </w:rPr>
            </w:pPr>
            <w:r>
              <w:rPr>
                <w:rFonts w:eastAsiaTheme="minorHAnsi"/>
                <w:sz w:val="24"/>
                <w:szCs w:val="28"/>
                <w:lang w:val="vi-VN" w:eastAsia="en-US"/>
              </w:rPr>
              <w:t>- Bổ sung nội dung khuyến khích huy động các nguồn xã hội hóa hợp pháp để hỗ trợ tổ chức giải thi đấu thể thao;</w:t>
            </w:r>
          </w:p>
          <w:p>
            <w:pPr>
              <w:spacing w:after="0"/>
              <w:ind w:firstLine="34"/>
              <w:rPr>
                <w:rFonts w:eastAsiaTheme="minorHAnsi"/>
                <w:sz w:val="24"/>
                <w:szCs w:val="28"/>
                <w:lang w:val="vi-VN" w:eastAsia="en-US"/>
              </w:rPr>
            </w:pPr>
          </w:p>
          <w:p>
            <w:pPr>
              <w:spacing w:after="0"/>
              <w:ind w:firstLine="34"/>
              <w:rPr>
                <w:rFonts w:eastAsiaTheme="minorHAnsi"/>
                <w:sz w:val="24"/>
                <w:szCs w:val="28"/>
                <w:lang w:val="vi-VN" w:eastAsia="en-US"/>
              </w:rPr>
            </w:pPr>
            <w:r>
              <w:rPr>
                <w:rFonts w:eastAsiaTheme="minorHAnsi"/>
                <w:sz w:val="24"/>
                <w:szCs w:val="28"/>
                <w:lang w:val="vi-VN" w:eastAsia="en-US"/>
              </w:rPr>
              <w:lastRenderedPageBreak/>
              <w:t>- Làm rõ trách nhiệm cân đối kinh phí của từng cấp ngân sách nhằm tránh khó khăn cho địa phương cấp xã trong quá trình triển khai thực hiện.</w:t>
            </w:r>
          </w:p>
          <w:p>
            <w:pPr>
              <w:spacing w:after="0"/>
              <w:rPr>
                <w:rFonts w:eastAsiaTheme="minorHAnsi"/>
                <w:sz w:val="24"/>
                <w:szCs w:val="28"/>
                <w:lang w:val="vi-VN" w:eastAsia="en-US"/>
              </w:rPr>
            </w:pP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lastRenderedPageBreak/>
              <w:t>- Tại khoản 1, Điều 1 đã quy định các giải thể thao trên địa bàn tỉnh có sử dụng ngân sách Nhà nước là bao gồm cho tất cả đối tượng tổ chức xã hội, tổ chức nghề nghiệp, các giải thể thao cụm, giải thể thao khác liên quan đến sử dụng ngân sách nhà nước.</w:t>
            </w:r>
          </w:p>
          <w:p>
            <w:pPr>
              <w:spacing w:after="0"/>
              <w:rPr>
                <w:rFonts w:eastAsiaTheme="minorHAnsi"/>
                <w:sz w:val="24"/>
                <w:szCs w:val="28"/>
                <w:lang w:val="vi-VN" w:eastAsia="en-US"/>
              </w:rPr>
            </w:pPr>
            <w:r>
              <w:rPr>
                <w:rFonts w:eastAsiaTheme="minorHAnsi"/>
                <w:sz w:val="24"/>
                <w:szCs w:val="28"/>
                <w:lang w:val="vi-VN" w:eastAsia="en-US"/>
              </w:rPr>
              <w:t>- Giai thê thao cụm, giải thể thao quần chúng đã nằm trong phạm vi áp dụng của Nghị quyết.</w:t>
            </w:r>
          </w:p>
          <w:p>
            <w:pPr>
              <w:spacing w:after="0"/>
              <w:rPr>
                <w:rFonts w:eastAsiaTheme="minorHAnsi"/>
                <w:sz w:val="24"/>
                <w:szCs w:val="28"/>
                <w:lang w:val="vi-VN" w:eastAsia="en-US"/>
              </w:rPr>
            </w:pPr>
            <w:r>
              <w:rPr>
                <w:rFonts w:eastAsiaTheme="minorHAnsi"/>
                <w:sz w:val="24"/>
                <w:szCs w:val="28"/>
                <w:lang w:val="vi-VN" w:eastAsia="en-US"/>
              </w:rPr>
              <w:t xml:space="preserve"> </w:t>
            </w:r>
          </w:p>
          <w:p>
            <w:pPr>
              <w:spacing w:after="0"/>
              <w:rPr>
                <w:rFonts w:eastAsiaTheme="minorHAnsi"/>
                <w:sz w:val="24"/>
                <w:szCs w:val="28"/>
                <w:lang w:val="vi-VN" w:eastAsia="en-US"/>
              </w:rPr>
            </w:pPr>
            <w:r>
              <w:rPr>
                <w:rFonts w:eastAsiaTheme="minorHAnsi"/>
                <w:sz w:val="24"/>
                <w:szCs w:val="28"/>
                <w:lang w:val="vi-VN" w:eastAsia="en-US"/>
              </w:rPr>
              <w:t xml:space="preserve">- </w:t>
            </w:r>
            <w:r>
              <w:rPr>
                <w:rFonts w:eastAsiaTheme="minorHAnsi"/>
                <w:sz w:val="24"/>
                <w:szCs w:val="28"/>
                <w:lang w:val="vi-VN" w:eastAsia="en-US"/>
              </w:rPr>
              <w:t>Việc xây dựng mức chi cấp tỉnh thấp hơn của trung ương (tương đương 85%) và cấp xã thấp hơn mức chi cấp tỉnh (tương đương 85%) nhằm phân định rõ về tính chất, quy mô, hình thức và yêu cầu nhiệm vụ của từng cấp.</w:t>
            </w:r>
          </w:p>
          <w:p>
            <w:pPr>
              <w:spacing w:after="0"/>
              <w:rPr>
                <w:rFonts w:eastAsiaTheme="minorHAnsi"/>
                <w:sz w:val="24"/>
                <w:szCs w:val="28"/>
                <w:lang w:val="vi-VN" w:eastAsia="en-US"/>
              </w:rPr>
            </w:pPr>
            <w:r>
              <w:rPr>
                <w:rFonts w:eastAsiaTheme="minorHAnsi"/>
                <w:sz w:val="24"/>
                <w:szCs w:val="28"/>
                <w:lang w:val="vi-VN" w:eastAsia="en-US"/>
              </w:rPr>
              <w:t>- Chế dộ trọng tài áp dụng chung mức chi quy định tại khoản 1, Điều 2 dự thảo Nghị quyết, các chế độ thanh toán khác cho trọng tài Nghị quyết này không quy định</w:t>
            </w:r>
          </w:p>
          <w:p>
            <w:pPr>
              <w:spacing w:after="0"/>
              <w:rPr>
                <w:rFonts w:eastAsiaTheme="minorHAnsi"/>
                <w:sz w:val="24"/>
                <w:szCs w:val="28"/>
                <w:lang w:val="vi-VN" w:eastAsia="en-US"/>
              </w:rPr>
            </w:pPr>
            <w:r>
              <w:rPr>
                <w:rFonts w:eastAsiaTheme="minorHAnsi"/>
                <w:sz w:val="24"/>
                <w:szCs w:val="28"/>
                <w:lang w:val="vi-VN" w:eastAsia="en-US"/>
              </w:rPr>
              <w:t>- Quy định tổng duyệt tối đa 02 buổi là phù hợp, bởi vì dự thảo Nghị quyết đã quy định mức chi cho các buổi tập luyện trước buổi tổng duyệt</w:t>
            </w:r>
          </w:p>
          <w:p>
            <w:pPr>
              <w:spacing w:after="0"/>
              <w:rPr>
                <w:rFonts w:eastAsiaTheme="minorHAnsi"/>
                <w:sz w:val="24"/>
                <w:szCs w:val="28"/>
                <w:lang w:val="vi-VN" w:eastAsia="en-US"/>
              </w:rPr>
            </w:pPr>
            <w:r>
              <w:rPr>
                <w:rFonts w:eastAsiaTheme="minorHAnsi"/>
                <w:sz w:val="24"/>
                <w:szCs w:val="28"/>
                <w:lang w:val="vi-VN" w:eastAsia="en-US"/>
              </w:rPr>
              <w:t xml:space="preserve">- Khoản 1 Điều 7 Thông tư số 117/2025/TT-BTC ngày 16/12/2025 của Bộ Tài chính quy định UBND tỉnh trình Hội đồng nhân dân tỉnh quy định các mức chi cụ thể để tổ chức các giải thể thao do địa phương </w:t>
            </w:r>
            <w:r>
              <w:rPr>
                <w:rFonts w:eastAsiaTheme="minorHAnsi"/>
                <w:sz w:val="24"/>
                <w:szCs w:val="28"/>
                <w:lang w:val="vi-VN" w:eastAsia="en-US"/>
              </w:rPr>
              <w:lastRenderedPageBreak/>
              <w:t>tổ chức, do đó, chính sách khuyến khích huy động nguồn lực xã hội hóa để tổ chức giải đấu ngoài phạm vị điều chỉnh của Nghị quyết này.</w:t>
            </w:r>
          </w:p>
          <w:p>
            <w:pPr>
              <w:spacing w:after="0"/>
              <w:rPr>
                <w:rFonts w:eastAsiaTheme="minorHAnsi"/>
                <w:sz w:val="24"/>
                <w:szCs w:val="28"/>
                <w:lang w:val="vi-VN" w:eastAsia="en-US"/>
              </w:rPr>
            </w:pPr>
            <w:r>
              <w:rPr>
                <w:rFonts w:eastAsiaTheme="minorHAnsi"/>
                <w:sz w:val="24"/>
                <w:szCs w:val="28"/>
                <w:lang w:val="vi-VN" w:eastAsia="en-US"/>
              </w:rPr>
              <w:t>- Tại Điều 3 dự thảo Nghị quyết đã xác định: Kinh phí thực hiện do ngân sách nhà nước đảm bảo theo quy định về phân cấp quản lý sử dụng ngân sách hiện hành để tổ chức các hoạt động thể thao quy định tại khoản 1 Điều 1, Nghị quyết này.</w:t>
            </w: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UBND xã Kỳ Hoa</w:t>
            </w:r>
          </w:p>
          <w:p>
            <w:pPr>
              <w:spacing w:after="0"/>
              <w:rPr>
                <w:rFonts w:eastAsiaTheme="minorHAnsi"/>
                <w:sz w:val="24"/>
                <w:szCs w:val="28"/>
                <w:lang w:val="vi-VN" w:eastAsia="en-US"/>
              </w:rPr>
            </w:pPr>
            <w:r>
              <w:rPr>
                <w:rFonts w:eastAsiaTheme="minorHAnsi"/>
                <w:sz w:val="24"/>
                <w:szCs w:val="28"/>
                <w:lang w:val="vi-VN" w:eastAsia="en-US"/>
              </w:rPr>
              <w:t>Văn bản số 692/UBND-VHXH  ngày 20/5/2026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Tại Điều 2. Nội dung và mức chi: Đề nghị xem xét bổ sung quy định cụ thể mức chi tiền ăn (hoặc chế độ hỗ trợ) đối với vận động viên tham gia thi đấu tại các giải thể thao cấp cụm, Đại hội Thể dục thể thao, các giải thi đấu thể thao, Hội thi thể thao và Hội khỏe Phù Đổng, nhằm bảo đảm thống nhất, thuận lợi trong quá trình tổ chức thực hiện tại cơ sở.</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Dự thảo Nghị quyết chỉ quy định mức chi cho các đối tượng người làm nhiệm vụ chuyên môn, phục vụ giải đấu, không quy định mức chi đối với vận động viên; chế độ vận động viên tham gia gia thi đấu tùy theo tính chất cụ thể từng giải đấu do cơ quan, tổ chức điều động, tập trung đội tuyển quyết định.</w:t>
            </w:r>
          </w:p>
        </w:tc>
      </w:tr>
      <w:tr>
        <w:tc>
          <w:tcPr>
            <w:tcW w:w="1555" w:type="dxa"/>
          </w:tcPr>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ind w:firstLine="34"/>
              <w:rPr>
                <w:rFonts w:eastAsiaTheme="minorHAnsi"/>
                <w:sz w:val="24"/>
                <w:szCs w:val="28"/>
                <w:lang w:val="vi-VN" w:eastAsia="en-US"/>
              </w:rPr>
            </w:pPr>
            <w:r>
              <w:rPr>
                <w:rFonts w:eastAsiaTheme="minorHAnsi"/>
                <w:sz w:val="24"/>
                <w:szCs w:val="28"/>
                <w:lang w:val="vi-VN" w:eastAsia="en-US"/>
              </w:rPr>
              <w:t>Về  mức chi</w:t>
            </w:r>
          </w:p>
          <w:p>
            <w:pPr>
              <w:spacing w:after="0"/>
              <w:jc w:val="center"/>
              <w:rPr>
                <w:rFonts w:eastAsiaTheme="minorHAnsi"/>
                <w:sz w:val="24"/>
                <w:szCs w:val="28"/>
                <w:lang w:val="vi-VN" w:eastAsia="en-US"/>
              </w:rPr>
            </w:pPr>
          </w:p>
        </w:tc>
        <w:tc>
          <w:tcPr>
            <w:tcW w:w="2835" w:type="dxa"/>
            <w:shd w:val="clear" w:color="auto" w:fill="auto"/>
          </w:tcPr>
          <w:p>
            <w:pPr>
              <w:spacing w:after="0"/>
              <w:rPr>
                <w:rFonts w:eastAsiaTheme="minorHAnsi"/>
                <w:b/>
                <w:sz w:val="24"/>
                <w:szCs w:val="28"/>
                <w:lang w:val="vi-VN" w:eastAsia="en-US"/>
              </w:rPr>
            </w:pPr>
            <w:r>
              <w:rPr>
                <w:rFonts w:eastAsiaTheme="minorHAnsi"/>
                <w:b/>
                <w:sz w:val="24"/>
                <w:szCs w:val="28"/>
                <w:lang w:val="vi-VN" w:eastAsia="en-US"/>
              </w:rPr>
              <w:t>UBND xã Cẩm Bình</w:t>
            </w:r>
          </w:p>
          <w:p>
            <w:pPr>
              <w:spacing w:after="0"/>
              <w:rPr>
                <w:rFonts w:eastAsiaTheme="minorHAnsi"/>
                <w:sz w:val="24"/>
                <w:szCs w:val="28"/>
                <w:lang w:val="vi-VN" w:eastAsia="en-US"/>
              </w:rPr>
            </w:pPr>
            <w:r>
              <w:rPr>
                <w:rFonts w:eastAsiaTheme="minorHAnsi"/>
                <w:sz w:val="24"/>
                <w:szCs w:val="28"/>
                <w:lang w:val="vi-VN" w:eastAsia="en-US"/>
              </w:rPr>
              <w:t>Văn bản số 256/BC-UBND ngày 22/5/2026</w:t>
            </w:r>
          </w:p>
        </w:tc>
        <w:tc>
          <w:tcPr>
            <w:tcW w:w="5670" w:type="dxa"/>
            <w:shd w:val="clear" w:color="auto" w:fill="auto"/>
          </w:tcPr>
          <w:p>
            <w:pPr>
              <w:widowControl w:val="0"/>
              <w:spacing w:after="0"/>
              <w:ind w:firstLine="34"/>
              <w:rPr>
                <w:rFonts w:eastAsiaTheme="minorHAnsi"/>
                <w:sz w:val="24"/>
                <w:szCs w:val="28"/>
                <w:lang w:val="vi-VN" w:eastAsia="en-US"/>
              </w:rPr>
            </w:pPr>
            <w:r>
              <w:rPr>
                <w:rFonts w:eastAsiaTheme="minorHAnsi"/>
                <w:sz w:val="24"/>
                <w:szCs w:val="28"/>
                <w:lang w:val="vi-VN" w:eastAsia="en-US"/>
              </w:rPr>
              <w:t>- Đối với thành viên các tiểu ban chuyên môn cấp xã 150.000/ngày.</w:t>
            </w:r>
          </w:p>
          <w:p>
            <w:pPr>
              <w:widowControl w:val="0"/>
              <w:spacing w:after="0"/>
              <w:ind w:firstLine="34"/>
              <w:rPr>
                <w:rFonts w:eastAsiaTheme="minorHAnsi"/>
                <w:sz w:val="24"/>
                <w:szCs w:val="28"/>
                <w:lang w:val="vi-VN" w:eastAsia="en-US"/>
              </w:rPr>
            </w:pPr>
            <w:r>
              <w:rPr>
                <w:rFonts w:eastAsiaTheme="minorHAnsi"/>
                <w:sz w:val="24"/>
                <w:szCs w:val="28"/>
                <w:lang w:val="vi-VN" w:eastAsia="en-US"/>
              </w:rPr>
              <w:t>- Đối với Giám sát, trọng tài chính (không bao gồm môn bóng đá và môn futsal) cấp tỉnh, cấp xã 500.000/buổi.</w:t>
            </w:r>
          </w:p>
          <w:p>
            <w:pPr>
              <w:widowControl w:val="0"/>
              <w:spacing w:after="0"/>
              <w:ind w:firstLine="34"/>
              <w:rPr>
                <w:rFonts w:eastAsiaTheme="minorHAnsi"/>
                <w:sz w:val="24"/>
                <w:szCs w:val="28"/>
                <w:lang w:val="vi-VN" w:eastAsia="en-US"/>
              </w:rPr>
            </w:pPr>
            <w:r>
              <w:rPr>
                <w:rFonts w:eastAsiaTheme="minorHAnsi"/>
                <w:sz w:val="24"/>
                <w:szCs w:val="28"/>
                <w:lang w:val="vi-VN" w:eastAsia="en-US"/>
              </w:rPr>
              <w:t>- Công an, nhân viên y tế, nhân viên phục vụ, lực lượng làm nhiệm vụ trật tự, bảo vệ 100.000/buổi. - Người tham gia đồng diễn, điều hành, xếp hình, xếp chữ (đối với các Đại hội thể dục thể thao, Hội khỏe Phù Đổng) cấp tỉnh và xã: đối với tổng duyệt 100.000/buổi, đối với chính thức 150.000/buổTrọ\</w:t>
            </w:r>
          </w:p>
          <w:p>
            <w:pPr>
              <w:widowControl w:val="0"/>
              <w:spacing w:after="0"/>
              <w:ind w:firstLine="34"/>
              <w:rPr>
                <w:rFonts w:eastAsiaTheme="minorHAnsi"/>
                <w:sz w:val="24"/>
                <w:szCs w:val="28"/>
                <w:lang w:val="vi-VN" w:eastAsia="en-US"/>
              </w:rPr>
            </w:pPr>
            <w:r>
              <w:rPr>
                <w:rFonts w:eastAsiaTheme="minorHAnsi"/>
                <w:sz w:val="24"/>
                <w:szCs w:val="28"/>
                <w:lang w:val="vi-VN" w:eastAsia="en-US"/>
              </w:rPr>
              <w:t>- Trọng tài chính Giải bóng đá nam, nữ (cấp tỉnh, xã) đề xuất tính theo trận đấu với mức 250.000/trận; Trợ lý trọng tài, giám sát Giải bóng đá nam, nữ (cấp tỉnh, xã) đề xuất tính theo trận đấu với mức 100.000/trận.</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Đã tiếp thu chỉnh sửa một phần, tuy nhiên cơ bản giữ mức chi như dự thảo là cấp tỉnh tương đương 85% trung ương và cấp xã tương đương 85% mức chi cấp tỉnh là phù hợp. Nếu tăng mức chi của trọng tài cấp xã bằng mức chi cấp tỉnh sẽ phát sinh kinh phí và không tương ứng với quy mô, tính chất chuyên môn giải đấu theo phân cấp địa phương.</w:t>
            </w: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Đơn vị tính áp dụng trong dự thảo là để vừa có sự thống nhất chung vừa thuận lợi trong việc lập dự toán; việc tính theo trận đấu sẽ phát sinh nhiều vấn đề bất cập do tính chất từng loại hình thể thức thi đấu, thời gian trận đấu bóng đá hiện nay.</w:t>
            </w:r>
          </w:p>
        </w:tc>
      </w:tr>
      <w:tr>
        <w:trPr>
          <w:trHeight w:val="1694"/>
        </w:trPr>
        <w:tc>
          <w:tcPr>
            <w:tcW w:w="1555" w:type="dxa"/>
          </w:tcPr>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ind w:firstLine="34"/>
              <w:rPr>
                <w:rFonts w:eastAsiaTheme="minorHAnsi"/>
                <w:sz w:val="24"/>
                <w:szCs w:val="28"/>
                <w:lang w:val="vi-VN" w:eastAsia="en-US"/>
              </w:rPr>
            </w:pPr>
            <w:r>
              <w:rPr>
                <w:rFonts w:eastAsiaTheme="minorHAnsi"/>
                <w:sz w:val="24"/>
                <w:szCs w:val="28"/>
                <w:lang w:val="vi-VN" w:eastAsia="en-US"/>
              </w:rPr>
              <w:t>Về  mức chi</w:t>
            </w:r>
          </w:p>
          <w:p>
            <w:pPr>
              <w:spacing w:after="0"/>
              <w:jc w:val="center"/>
              <w:rPr>
                <w:rFonts w:eastAsiaTheme="minorHAnsi"/>
                <w:sz w:val="24"/>
                <w:szCs w:val="28"/>
                <w:lang w:val="vi-VN" w:eastAsia="en-US"/>
              </w:rPr>
            </w:pPr>
          </w:p>
          <w:p>
            <w:pPr>
              <w:spacing w:after="0"/>
              <w:jc w:val="center"/>
              <w:rPr>
                <w:rFonts w:eastAsiaTheme="minorHAnsi"/>
                <w:sz w:val="24"/>
                <w:szCs w:val="28"/>
                <w:lang w:val="vi-VN" w:eastAsia="en-US"/>
              </w:rPr>
            </w:pPr>
          </w:p>
          <w:p>
            <w:pPr>
              <w:spacing w:after="0"/>
              <w:jc w:val="center"/>
              <w:rPr>
                <w:rFonts w:eastAsiaTheme="minorHAnsi"/>
                <w:sz w:val="24"/>
                <w:szCs w:val="28"/>
                <w:lang w:val="vi-VN" w:eastAsia="en-US"/>
              </w:rPr>
            </w:pPr>
          </w:p>
          <w:p>
            <w:pPr>
              <w:spacing w:after="0"/>
              <w:jc w:val="center"/>
              <w:rPr>
                <w:rFonts w:eastAsiaTheme="minorHAnsi"/>
                <w:sz w:val="24"/>
                <w:szCs w:val="28"/>
                <w:lang w:val="vi-VN" w:eastAsia="en-US"/>
              </w:rPr>
            </w:pPr>
          </w:p>
          <w:p>
            <w:pPr>
              <w:spacing w:after="0"/>
              <w:jc w:val="center"/>
              <w:rPr>
                <w:rFonts w:eastAsiaTheme="minorHAnsi"/>
                <w:sz w:val="24"/>
                <w:szCs w:val="28"/>
                <w:lang w:val="vi-VN" w:eastAsia="en-US"/>
              </w:rPr>
            </w:pPr>
          </w:p>
        </w:tc>
        <w:tc>
          <w:tcPr>
            <w:tcW w:w="2835" w:type="dxa"/>
            <w:vMerge w:val="restart"/>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UBND xã Thạch Khê</w:t>
            </w:r>
          </w:p>
          <w:p>
            <w:pPr>
              <w:spacing w:after="0"/>
              <w:rPr>
                <w:rFonts w:eastAsiaTheme="minorHAnsi"/>
                <w:sz w:val="24"/>
                <w:szCs w:val="28"/>
                <w:lang w:val="vi-VN" w:eastAsia="en-US"/>
              </w:rPr>
            </w:pPr>
            <w:r>
              <w:rPr>
                <w:rFonts w:eastAsiaTheme="minorHAnsi"/>
                <w:sz w:val="24"/>
                <w:szCs w:val="28"/>
                <w:lang w:val="vi-VN" w:eastAsia="en-US"/>
              </w:rPr>
              <w:t>Văn bản số 1101/UBND-VHXH  ngày 22/5/2026</w:t>
            </w:r>
          </w:p>
        </w:tc>
        <w:tc>
          <w:tcPr>
            <w:tcW w:w="5670" w:type="dxa"/>
            <w:vMerge w:val="restart"/>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 xml:space="preserve">1. Đề nghị nghiên cứu nâng mức chi đối với cấp xã. Hiện nay điều kiện tổ chức các giải thể thao ở cấp xã còn nhiều khó khăn, đặc biệt về nguồn lực con người, cơ sở vật chất và kinh phí tổ chức. Trong khi đó, lực lượng tham gia phục vụ, trọng tài, công an, y tế, đoàn viên hỗ trợ tại cơ sở thường phải kiêm nhiệm nhiều công việc. Vì vậy đề nghị xem xét điều chỉnh mức chi cấp xã theo hướng tăng thêm phù hợp thực tế, tạo điều kiện duy trì </w:t>
            </w:r>
            <w:r>
              <w:rPr>
                <w:rFonts w:eastAsiaTheme="minorHAnsi"/>
                <w:sz w:val="24"/>
                <w:szCs w:val="28"/>
                <w:lang w:val="vi-VN" w:eastAsia="en-US"/>
              </w:rPr>
              <w:lastRenderedPageBreak/>
              <w:t>và phát triển phong trào thể dục thể thao quần chúng ở cơ sở.</w:t>
            </w:r>
          </w:p>
          <w:p>
            <w:pPr>
              <w:spacing w:after="0"/>
              <w:ind w:firstLine="34"/>
              <w:rPr>
                <w:rFonts w:eastAsiaTheme="minorHAnsi"/>
                <w:sz w:val="24"/>
                <w:szCs w:val="28"/>
                <w:lang w:val="vi-VN" w:eastAsia="en-US"/>
              </w:rPr>
            </w:pPr>
            <w:r>
              <w:rPr>
                <w:rFonts w:eastAsiaTheme="minorHAnsi"/>
                <w:sz w:val="24"/>
                <w:szCs w:val="28"/>
                <w:lang w:val="vi-VN" w:eastAsia="en-US"/>
              </w:rPr>
              <w:t>2. Đề nghị bổ sung cơ chế hỗ trợ cho các xã khó khăn, vùng bãi ngang ven biển.</w:t>
            </w:r>
          </w:p>
          <w:p>
            <w:pPr>
              <w:spacing w:after="0"/>
              <w:ind w:firstLine="34"/>
              <w:rPr>
                <w:rFonts w:eastAsiaTheme="minorHAnsi"/>
                <w:sz w:val="24"/>
                <w:szCs w:val="28"/>
                <w:lang w:val="vi-VN" w:eastAsia="en-US"/>
              </w:rPr>
            </w:pPr>
            <w:r>
              <w:rPr>
                <w:rFonts w:eastAsiaTheme="minorHAnsi"/>
                <w:sz w:val="24"/>
                <w:szCs w:val="28"/>
                <w:lang w:val="vi-VN" w:eastAsia="en-US"/>
              </w:rPr>
              <w:t>Đối với các địa phương còn khó khăn, nguồn thu ngân sách hạn chế nhưng nhu cầu tổ chức hoạt động thể thao quần chúng lớn, đề nghị tỉnh nghiên cứu có cơ chế hỗ trợ kinh phí hoặc ưu tiên bố trí ngân sách để tổ chức các giải thể thao truyền thống, tại đại hội thể dục thể thao, các hoạt động TDTT nhân ngày lễ ở cấp xã, góp phần nâng cao đời sống tinh thần cho Nhân dân.</w:t>
            </w:r>
          </w:p>
          <w:p>
            <w:pPr>
              <w:spacing w:after="0"/>
              <w:ind w:firstLine="34"/>
              <w:rPr>
                <w:rFonts w:eastAsiaTheme="minorHAnsi"/>
                <w:sz w:val="24"/>
                <w:szCs w:val="28"/>
                <w:lang w:val="vi-VN" w:eastAsia="en-US"/>
              </w:rPr>
            </w:pPr>
            <w:r>
              <w:rPr>
                <w:rFonts w:eastAsiaTheme="minorHAnsi"/>
                <w:sz w:val="24"/>
                <w:szCs w:val="28"/>
                <w:lang w:val="vi-VN" w:eastAsia="en-US"/>
              </w:rPr>
              <w:t>3. Đề nghị bổ sung quy định linh hoạt đối với môn thể thao truyền thống và phong trào.</w:t>
            </w:r>
          </w:p>
          <w:p>
            <w:pPr>
              <w:spacing w:after="0"/>
              <w:ind w:firstLine="34"/>
              <w:rPr>
                <w:rFonts w:eastAsiaTheme="minorHAnsi"/>
                <w:sz w:val="24"/>
                <w:szCs w:val="28"/>
                <w:lang w:val="vi-VN" w:eastAsia="en-US"/>
              </w:rPr>
            </w:pPr>
            <w:r>
              <w:rPr>
                <w:rFonts w:eastAsiaTheme="minorHAnsi"/>
                <w:sz w:val="24"/>
                <w:szCs w:val="28"/>
                <w:lang w:val="vi-VN" w:eastAsia="en-US"/>
              </w:rPr>
              <w:t>Hiện nay ở cơ sở thường tổ chức các môn thể thao truyền thống như kéo co, đẩy gậy, bóng chuyền hơi, bóng đá phong trào, các trò chơi dân gian… Đề nghị Nghị quyết có quy định hoặc hướng dẫn áp dụng mức chi phù hợp đối với các môn thể thao quần chúng, thể thao truyền thống nhằm thuận lợi trong quá trình thanh quyết toán và tổ chức thực hiện.</w:t>
            </w:r>
          </w:p>
          <w:p>
            <w:pPr>
              <w:spacing w:after="0"/>
              <w:ind w:firstLine="34"/>
              <w:rPr>
                <w:rFonts w:eastAsiaTheme="minorHAnsi"/>
                <w:sz w:val="24"/>
                <w:szCs w:val="28"/>
                <w:lang w:val="vi-VN" w:eastAsia="en-US"/>
              </w:rPr>
            </w:pPr>
            <w:r>
              <w:rPr>
                <w:rFonts w:eastAsiaTheme="minorHAnsi"/>
                <w:sz w:val="24"/>
                <w:szCs w:val="28"/>
                <w:lang w:val="vi-VN" w:eastAsia="en-US"/>
              </w:rPr>
              <w:t>4. Đề nghị có hướng dẫn cụ thể việc lập dự toán và thanh quyết toán.</w:t>
            </w:r>
          </w:p>
          <w:p>
            <w:pPr>
              <w:spacing w:after="0"/>
              <w:ind w:firstLine="34"/>
              <w:rPr>
                <w:rFonts w:eastAsiaTheme="minorHAnsi"/>
                <w:sz w:val="24"/>
                <w:szCs w:val="28"/>
                <w:lang w:val="vi-VN" w:eastAsia="en-US"/>
              </w:rPr>
            </w:pPr>
            <w:r>
              <w:rPr>
                <w:rFonts w:eastAsiaTheme="minorHAnsi"/>
                <w:sz w:val="24"/>
                <w:szCs w:val="28"/>
                <w:lang w:val="vi-VN" w:eastAsia="en-US"/>
              </w:rPr>
              <w:t>Đề nghị các sở, ngành chuyên môn sớm ban hành hướng dẫn cụ thể về hồ sơ, thủ tục, nội dung chi và thanh quyết toán để các địa phương cấp xã thuận lợi trong quá trình triển khai thực hiện, tránh lúng túng và đảm bảo đúng quy định tài chính.</w:t>
            </w:r>
          </w:p>
          <w:p>
            <w:pPr>
              <w:spacing w:after="0"/>
              <w:ind w:firstLine="34"/>
              <w:rPr>
                <w:rFonts w:eastAsiaTheme="minorHAnsi"/>
                <w:sz w:val="24"/>
                <w:szCs w:val="28"/>
                <w:lang w:val="vi-VN" w:eastAsia="en-US"/>
              </w:rPr>
            </w:pPr>
            <w:r>
              <w:rPr>
                <w:rFonts w:eastAsiaTheme="minorHAnsi"/>
                <w:sz w:val="24"/>
                <w:szCs w:val="28"/>
                <w:lang w:val="vi-VN" w:eastAsia="en-US"/>
              </w:rPr>
              <w:t>5. Đề nghị quan tâm đầu tư cơ sở vật chất thể thao cơ sở.</w:t>
            </w:r>
          </w:p>
          <w:p>
            <w:pPr>
              <w:spacing w:after="0"/>
              <w:ind w:firstLine="34"/>
              <w:rPr>
                <w:rFonts w:eastAsiaTheme="minorHAnsi"/>
                <w:sz w:val="24"/>
                <w:szCs w:val="28"/>
                <w:lang w:val="vi-VN" w:eastAsia="en-US"/>
              </w:rPr>
            </w:pPr>
            <w:r>
              <w:rPr>
                <w:rFonts w:eastAsiaTheme="minorHAnsi"/>
                <w:sz w:val="24"/>
                <w:szCs w:val="28"/>
                <w:lang w:val="vi-VN" w:eastAsia="en-US"/>
              </w:rPr>
              <w:t>Bên cạnh quy định mức chi tổ chức giải, đề nghị tỉnh tiếp tục quan tâm hỗ trợ đầu tư, nâng cấp sân bãi, dụng cụ thể thao tại cơ sở nhằm đáp ứng yêu cầu tổ chức các hoạt động thể thao quần chúng ngày càng hiệu quả, thiết thực.</w:t>
            </w:r>
          </w:p>
        </w:tc>
        <w:tc>
          <w:tcPr>
            <w:tcW w:w="5386" w:type="dxa"/>
            <w:vMerge w:val="restart"/>
            <w:shd w:val="clear" w:color="auto" w:fill="auto"/>
          </w:tcPr>
          <w:p>
            <w:pPr>
              <w:spacing w:after="0"/>
              <w:rPr>
                <w:rFonts w:eastAsiaTheme="minorHAnsi"/>
                <w:sz w:val="24"/>
                <w:szCs w:val="28"/>
                <w:lang w:val="vi-VN" w:eastAsia="en-US"/>
              </w:rPr>
            </w:pPr>
            <w:r>
              <w:rPr>
                <w:rFonts w:eastAsiaTheme="minorHAnsi"/>
                <w:sz w:val="24"/>
                <w:szCs w:val="28"/>
                <w:lang w:val="vi-VN" w:eastAsia="en-US"/>
              </w:rPr>
              <w:lastRenderedPageBreak/>
              <w:t>Đã tiếp thu chỉnh sửa một phần, tuy nhiên cơ bản giữ mức chi như dự thảo là cấp tỉnh tương đương 85% trung ương và cấp xã tương đương 85% mức chi cấp tỉnh là phù hợp. Nếu tăng mức chi của trọng tài cấp xã bằng mức chi cấp tỉnh sẽ phát sinh kinh phí và không tương ứng với quy mô, tính chất chuyên môn giải đấu theo phân cấp địa phương.</w:t>
            </w: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Khoản 1 Điều 7 Thông tư số 117/2025/TT-BTC ngày 16/12/2025 của Bộ Tài chính quy định UBND tỉnh trình Hội đồng nhân dân tỉnh quy định các mức chi cụ thể để tổ chức các giải thể thao do địa phương, do đó, cơ chế hỗ trợ kinh phí để tổ chức giải đấu ngoài phạm vị điều chỉnh của Nghị quyết này.</w:t>
            </w: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Đã quy định tại khoản 1, Điều 1 Nghị quyết này</w:t>
            </w:r>
          </w:p>
          <w:p>
            <w:pPr>
              <w:spacing w:after="0"/>
              <w:rPr>
                <w:rFonts w:eastAsiaTheme="minorHAnsi"/>
                <w:sz w:val="24"/>
                <w:szCs w:val="28"/>
                <w:lang w:val="vi-VN" w:eastAsia="en-US"/>
              </w:rPr>
            </w:pPr>
          </w:p>
          <w:p>
            <w:pPr>
              <w:spacing w:after="0"/>
              <w:rPr>
                <w:rFonts w:eastAsiaTheme="minorHAnsi"/>
                <w:sz w:val="24"/>
                <w:szCs w:val="28"/>
                <w:lang w:val="vi-VN" w:eastAsia="en-US"/>
              </w:rPr>
            </w:pPr>
          </w:p>
          <w:p>
            <w:pPr>
              <w:snapToGrid w:val="0"/>
              <w:spacing w:after="0"/>
              <w:rPr>
                <w:rFonts w:eastAsiaTheme="minorHAnsi"/>
                <w:sz w:val="24"/>
                <w:szCs w:val="28"/>
                <w:lang w:val="vi-VN" w:eastAsia="en-US"/>
              </w:rPr>
            </w:pPr>
          </w:p>
          <w:p>
            <w:pPr>
              <w:snapToGrid w:val="0"/>
              <w:spacing w:after="0"/>
              <w:rPr>
                <w:rFonts w:eastAsiaTheme="minorHAnsi"/>
                <w:sz w:val="24"/>
                <w:szCs w:val="28"/>
                <w:lang w:val="vi-VN" w:eastAsia="en-US"/>
              </w:rPr>
            </w:pPr>
          </w:p>
          <w:p>
            <w:pPr>
              <w:snapToGrid w:val="0"/>
              <w:spacing w:after="0"/>
              <w:rPr>
                <w:rFonts w:eastAsiaTheme="minorHAnsi"/>
                <w:sz w:val="24"/>
                <w:szCs w:val="28"/>
                <w:lang w:val="vi-VN" w:eastAsia="en-US"/>
              </w:rPr>
            </w:pPr>
          </w:p>
          <w:p>
            <w:pPr>
              <w:spacing w:after="0"/>
              <w:ind w:firstLine="34"/>
              <w:rPr>
                <w:rFonts w:eastAsiaTheme="minorHAnsi"/>
                <w:sz w:val="24"/>
                <w:szCs w:val="28"/>
                <w:lang w:val="vi-VN" w:eastAsia="en-US"/>
              </w:rPr>
            </w:pPr>
            <w:r>
              <w:rPr>
                <w:rFonts w:eastAsiaTheme="minorHAnsi"/>
                <w:sz w:val="24"/>
                <w:szCs w:val="28"/>
                <w:lang w:val="vi-VN" w:eastAsia="en-US"/>
              </w:rPr>
              <w:t>Sau khi nghị quyết ban hành các địa phương sẽ có căn cứ lập dự toán thực hiện; việc lập dự toán và thanh quyết toán thực hiện theo quy định hiện hành</w:t>
            </w:r>
          </w:p>
          <w:p>
            <w:pPr>
              <w:snapToGrid w:val="0"/>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Khoản 1 Điều 7 Thông tư số 117/2025/TT-BTC ngày 16/12/2025 của Bộ Tài chính quy định UBND tỉnh trình Hội đồng nhân dân tỉnh quy định các mức chi cụ thể để tổ chức các giải thể thao do địa phương, do đó, cơ chế hỗ trợ đầu tư cơ sở vật chất ngoài phạm vị điều chỉnh của Nghị quyết này.</w:t>
            </w:r>
          </w:p>
        </w:tc>
      </w:tr>
      <w:tr>
        <w:trPr>
          <w:trHeight w:val="2361"/>
        </w:trPr>
        <w:tc>
          <w:tcPr>
            <w:tcW w:w="1555" w:type="dxa"/>
          </w:tcPr>
          <w:p>
            <w:pPr>
              <w:spacing w:after="0"/>
              <w:jc w:val="center"/>
              <w:rPr>
                <w:rFonts w:eastAsiaTheme="minorHAnsi"/>
                <w:sz w:val="24"/>
                <w:szCs w:val="28"/>
                <w:lang w:val="vi-VN" w:eastAsia="en-US"/>
              </w:rPr>
            </w:pPr>
          </w:p>
          <w:p>
            <w:pPr>
              <w:spacing w:after="0"/>
              <w:ind w:firstLine="34"/>
              <w:rPr>
                <w:rFonts w:eastAsiaTheme="minorHAnsi"/>
                <w:sz w:val="24"/>
                <w:szCs w:val="28"/>
                <w:lang w:val="vi-VN" w:eastAsia="en-US"/>
              </w:rPr>
            </w:pPr>
            <w:r>
              <w:rPr>
                <w:rFonts w:eastAsiaTheme="minorHAnsi"/>
                <w:sz w:val="24"/>
                <w:szCs w:val="28"/>
                <w:lang w:val="vi-VN" w:eastAsia="en-US"/>
              </w:rPr>
              <w:t xml:space="preserve">Về  cơ chế hỗ trợ </w:t>
            </w:r>
          </w:p>
          <w:p>
            <w:pPr>
              <w:spacing w:after="0"/>
              <w:jc w:val="center"/>
              <w:rPr>
                <w:rFonts w:eastAsiaTheme="minorHAnsi"/>
                <w:sz w:val="24"/>
                <w:szCs w:val="28"/>
                <w:lang w:val="vi-VN" w:eastAsia="en-US"/>
              </w:rPr>
            </w:pPr>
          </w:p>
          <w:p>
            <w:pPr>
              <w:spacing w:after="0"/>
              <w:jc w:val="center"/>
              <w:rPr>
                <w:rFonts w:eastAsiaTheme="minorHAnsi"/>
                <w:sz w:val="24"/>
                <w:szCs w:val="28"/>
                <w:lang w:val="vi-VN" w:eastAsia="en-US"/>
              </w:rPr>
            </w:pPr>
          </w:p>
          <w:p>
            <w:pPr>
              <w:spacing w:after="0"/>
              <w:jc w:val="center"/>
              <w:rPr>
                <w:rFonts w:eastAsiaTheme="minorHAnsi"/>
                <w:sz w:val="24"/>
                <w:szCs w:val="28"/>
                <w:lang w:val="vi-VN" w:eastAsia="en-US"/>
              </w:rPr>
            </w:pPr>
          </w:p>
          <w:p>
            <w:pPr>
              <w:spacing w:after="0"/>
              <w:jc w:val="center"/>
              <w:rPr>
                <w:rFonts w:eastAsiaTheme="minorHAnsi"/>
                <w:sz w:val="24"/>
                <w:szCs w:val="28"/>
                <w:lang w:val="vi-VN" w:eastAsia="en-US"/>
              </w:rPr>
            </w:pPr>
          </w:p>
        </w:tc>
        <w:tc>
          <w:tcPr>
            <w:tcW w:w="2835" w:type="dxa"/>
            <w:vMerge/>
            <w:shd w:val="clear" w:color="auto" w:fill="auto"/>
            <w:vAlign w:val="center"/>
          </w:tcPr>
          <w:p>
            <w:pPr>
              <w:spacing w:after="0"/>
              <w:rPr>
                <w:rFonts w:eastAsiaTheme="minorHAnsi"/>
                <w:sz w:val="24"/>
                <w:szCs w:val="28"/>
                <w:lang w:val="vi-VN" w:eastAsia="en-US"/>
              </w:rPr>
            </w:pPr>
          </w:p>
        </w:tc>
        <w:tc>
          <w:tcPr>
            <w:tcW w:w="5670" w:type="dxa"/>
            <w:vMerge/>
            <w:shd w:val="clear" w:color="auto" w:fill="auto"/>
          </w:tcPr>
          <w:p>
            <w:pPr>
              <w:spacing w:after="0"/>
              <w:ind w:firstLine="34"/>
              <w:rPr>
                <w:rFonts w:eastAsiaTheme="minorHAnsi"/>
                <w:sz w:val="24"/>
                <w:szCs w:val="28"/>
                <w:lang w:val="vi-VN" w:eastAsia="en-US"/>
              </w:rPr>
            </w:pPr>
          </w:p>
        </w:tc>
        <w:tc>
          <w:tcPr>
            <w:tcW w:w="5386" w:type="dxa"/>
            <w:vMerge/>
            <w:shd w:val="clear" w:color="auto" w:fill="auto"/>
          </w:tcPr>
          <w:p>
            <w:pPr>
              <w:spacing w:after="0"/>
              <w:rPr>
                <w:rFonts w:eastAsiaTheme="minorHAnsi"/>
                <w:sz w:val="24"/>
                <w:szCs w:val="28"/>
                <w:lang w:val="vi-VN" w:eastAsia="en-US"/>
              </w:rPr>
            </w:pPr>
          </w:p>
        </w:tc>
      </w:tr>
      <w:tr>
        <w:trPr>
          <w:trHeight w:val="3231"/>
        </w:trPr>
        <w:tc>
          <w:tcPr>
            <w:tcW w:w="1555" w:type="dxa"/>
          </w:tcPr>
          <w:p>
            <w:pPr>
              <w:spacing w:after="0"/>
              <w:jc w:val="center"/>
              <w:rPr>
                <w:rFonts w:eastAsiaTheme="minorHAnsi"/>
                <w:sz w:val="24"/>
                <w:szCs w:val="28"/>
                <w:lang w:val="vi-VN" w:eastAsia="en-US"/>
              </w:rPr>
            </w:pPr>
          </w:p>
          <w:p>
            <w:pPr>
              <w:spacing w:after="0"/>
              <w:ind w:firstLine="34"/>
              <w:rPr>
                <w:rFonts w:eastAsiaTheme="minorHAnsi"/>
                <w:sz w:val="24"/>
                <w:szCs w:val="28"/>
                <w:lang w:val="vi-VN" w:eastAsia="en-US"/>
              </w:rPr>
            </w:pPr>
          </w:p>
          <w:p>
            <w:pPr>
              <w:spacing w:after="0"/>
              <w:ind w:firstLine="34"/>
              <w:rPr>
                <w:rFonts w:eastAsiaTheme="minorHAnsi"/>
                <w:sz w:val="24"/>
                <w:szCs w:val="28"/>
                <w:lang w:val="vi-VN" w:eastAsia="en-US"/>
              </w:rPr>
            </w:pPr>
          </w:p>
          <w:p>
            <w:pPr>
              <w:spacing w:after="0"/>
              <w:ind w:firstLine="34"/>
              <w:rPr>
                <w:rFonts w:eastAsiaTheme="minorHAnsi"/>
                <w:sz w:val="24"/>
                <w:szCs w:val="28"/>
                <w:lang w:val="vi-VN" w:eastAsia="en-US"/>
              </w:rPr>
            </w:pPr>
          </w:p>
          <w:p>
            <w:pPr>
              <w:spacing w:after="0"/>
              <w:ind w:firstLine="34"/>
              <w:rPr>
                <w:rFonts w:eastAsiaTheme="minorHAnsi"/>
                <w:sz w:val="24"/>
                <w:szCs w:val="28"/>
                <w:lang w:val="vi-VN" w:eastAsia="en-US"/>
              </w:rPr>
            </w:pPr>
            <w:r>
              <w:rPr>
                <w:rFonts w:eastAsiaTheme="minorHAnsi"/>
                <w:sz w:val="24"/>
                <w:szCs w:val="28"/>
                <w:lang w:val="vi-VN" w:eastAsia="en-US"/>
              </w:rPr>
              <w:t>Về hướng dẫn cụ thể việc lập dự toán và thanh quyết toán.</w:t>
            </w:r>
          </w:p>
          <w:p>
            <w:pPr>
              <w:spacing w:after="0"/>
              <w:ind w:firstLine="34"/>
              <w:rPr>
                <w:rFonts w:eastAsiaTheme="minorHAnsi"/>
                <w:sz w:val="24"/>
                <w:szCs w:val="28"/>
                <w:lang w:val="vi-VN" w:eastAsia="en-US"/>
              </w:rPr>
            </w:pPr>
          </w:p>
          <w:p>
            <w:pPr>
              <w:spacing w:after="0"/>
              <w:jc w:val="center"/>
              <w:rPr>
                <w:rFonts w:eastAsiaTheme="minorHAnsi"/>
                <w:sz w:val="24"/>
                <w:szCs w:val="28"/>
                <w:lang w:val="vi-VN" w:eastAsia="en-US"/>
              </w:rPr>
            </w:pPr>
            <w:r>
              <w:rPr>
                <w:rFonts w:eastAsiaTheme="minorHAnsi"/>
                <w:sz w:val="24"/>
                <w:szCs w:val="28"/>
                <w:lang w:val="vi-VN" w:eastAsia="en-US"/>
              </w:rPr>
              <w:t>Về chính sách hỗ trợ đầu tư</w:t>
            </w:r>
          </w:p>
        </w:tc>
        <w:tc>
          <w:tcPr>
            <w:tcW w:w="2835" w:type="dxa"/>
            <w:vMerge/>
            <w:shd w:val="clear" w:color="auto" w:fill="auto"/>
            <w:vAlign w:val="center"/>
          </w:tcPr>
          <w:p>
            <w:pPr>
              <w:spacing w:after="0"/>
              <w:rPr>
                <w:rFonts w:eastAsiaTheme="minorHAnsi"/>
                <w:sz w:val="24"/>
                <w:szCs w:val="28"/>
                <w:lang w:val="vi-VN" w:eastAsia="en-US"/>
              </w:rPr>
            </w:pPr>
          </w:p>
        </w:tc>
        <w:tc>
          <w:tcPr>
            <w:tcW w:w="5670" w:type="dxa"/>
            <w:vMerge/>
            <w:shd w:val="clear" w:color="auto" w:fill="auto"/>
          </w:tcPr>
          <w:p>
            <w:pPr>
              <w:spacing w:after="0"/>
              <w:ind w:firstLine="34"/>
              <w:rPr>
                <w:rFonts w:eastAsiaTheme="minorHAnsi"/>
                <w:sz w:val="24"/>
                <w:szCs w:val="28"/>
                <w:lang w:val="vi-VN" w:eastAsia="en-US"/>
              </w:rPr>
            </w:pPr>
          </w:p>
        </w:tc>
        <w:tc>
          <w:tcPr>
            <w:tcW w:w="5386" w:type="dxa"/>
            <w:vMerge/>
            <w:shd w:val="clear" w:color="auto" w:fill="auto"/>
          </w:tcPr>
          <w:p>
            <w:pPr>
              <w:spacing w:after="0"/>
              <w:rPr>
                <w:rFonts w:eastAsiaTheme="minorHAnsi"/>
                <w:sz w:val="24"/>
                <w:szCs w:val="28"/>
                <w:lang w:val="vi-VN" w:eastAsia="en-US"/>
              </w:rPr>
            </w:pPr>
          </w:p>
        </w:tc>
      </w:tr>
      <w:tr>
        <w:tc>
          <w:tcPr>
            <w:tcW w:w="1555" w:type="dxa"/>
          </w:tcPr>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Xã Kim Hoa</w:t>
            </w:r>
          </w:p>
          <w:p>
            <w:pPr>
              <w:spacing w:after="0"/>
              <w:rPr>
                <w:rFonts w:eastAsiaTheme="minorHAnsi"/>
                <w:sz w:val="24"/>
                <w:szCs w:val="28"/>
                <w:lang w:val="vi-VN" w:eastAsia="en-US"/>
              </w:rPr>
            </w:pPr>
            <w:r>
              <w:rPr>
                <w:rFonts w:eastAsiaTheme="minorHAnsi"/>
                <w:sz w:val="24"/>
                <w:szCs w:val="28"/>
                <w:lang w:val="vi-VN" w:eastAsia="en-US"/>
              </w:rPr>
              <w:t>Văn bản số 940/UBND-VHXH  ngày 21/5/2026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Tại Điều 2 của Nghị quyết, nội dung và mức chi bồi dưỡng cho người tập luyện (cấp tỉnh 65.000 đồng/buổi, cấp xã 50.000 đồng/buổi) cần được điều chỉnh tăng lên (cấp tỉnh 80.000 đồng/buổi, cấp xã 60.000 đồng/buổi) để phù hợp với thực tế hiện nay.</w:t>
            </w:r>
          </w:p>
          <w:p>
            <w:pPr>
              <w:spacing w:after="0"/>
              <w:ind w:firstLine="34"/>
              <w:rPr>
                <w:rFonts w:eastAsiaTheme="minorHAnsi"/>
                <w:sz w:val="24"/>
                <w:szCs w:val="28"/>
                <w:lang w:val="vi-VN" w:eastAsia="en-US"/>
              </w:rPr>
            </w:pP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lastRenderedPageBreak/>
              <w:t>Giữ mức chi cấp tỉnh tương đương 85% trung ương và cấp xã tương đương  85% mức chi cấp tỉnh là phù hợp tình hình chung; nếu tăng như đề xuất bên là ngang bằng mức chi các giải trung ương thì sẽ không phù hợp.</w:t>
            </w: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Phường Thành Sen</w:t>
            </w:r>
          </w:p>
          <w:p>
            <w:pPr>
              <w:spacing w:after="0"/>
              <w:rPr>
                <w:rFonts w:eastAsiaTheme="minorHAnsi"/>
                <w:sz w:val="24"/>
                <w:szCs w:val="28"/>
                <w:lang w:val="vi-VN" w:eastAsia="en-US"/>
              </w:rPr>
            </w:pPr>
            <w:r>
              <w:rPr>
                <w:rFonts w:eastAsiaTheme="minorHAnsi"/>
                <w:sz w:val="24"/>
                <w:szCs w:val="28"/>
                <w:lang w:val="vi-VN" w:eastAsia="en-US"/>
              </w:rPr>
              <w:t>Văn bản số 1139/UBND-VHXH  ngày 18/5/2026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 Đề nghị tăng mức chi đối với lực lượng phục vụ, y tế, bảo vệ cấp xã vì mức 70.000 đồng còn thấp chưa phù hợp với điều kiện thực tế hiện nay.</w:t>
            </w:r>
          </w:p>
          <w:p>
            <w:pPr>
              <w:spacing w:after="0"/>
              <w:ind w:firstLine="34"/>
              <w:rPr>
                <w:rFonts w:eastAsiaTheme="minorHAnsi"/>
                <w:sz w:val="24"/>
                <w:szCs w:val="28"/>
                <w:lang w:val="vi-VN" w:eastAsia="en-US"/>
              </w:rPr>
            </w:pPr>
            <w:r>
              <w:rPr>
                <w:rFonts w:eastAsiaTheme="minorHAnsi"/>
                <w:sz w:val="24"/>
                <w:szCs w:val="28"/>
                <w:lang w:val="vi-VN" w:eastAsia="en-US"/>
              </w:rPr>
              <w:t>- Đề nghị xem xét tăng mức chi đối với lực lượng trọng tài cấp xã vì mức 170.000 đồng là quá thấp so với mặt bằng chung hiện nay nay</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Việc xây dựng mức chi cấp tỉnh thấp hơn của trung ương (tương đương 85%) và cấp xã thấp hơn mức chi cấp tỉnh (tương đương 85%) nhằm phân định rõ về tính chất, quy mô, hình thức và yêu cầu nhiệm vụ của từng cấp.</w:t>
            </w:r>
          </w:p>
          <w:p>
            <w:pPr>
              <w:spacing w:after="0"/>
              <w:rPr>
                <w:rFonts w:eastAsiaTheme="minorHAnsi"/>
                <w:sz w:val="24"/>
                <w:szCs w:val="28"/>
                <w:lang w:val="vi-VN" w:eastAsia="en-US"/>
              </w:rPr>
            </w:pP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Xã Vũ Quang</w:t>
            </w:r>
          </w:p>
          <w:p>
            <w:pPr>
              <w:spacing w:after="0"/>
              <w:rPr>
                <w:rFonts w:eastAsiaTheme="minorHAnsi"/>
                <w:sz w:val="24"/>
                <w:szCs w:val="28"/>
                <w:lang w:val="vi-VN" w:eastAsia="en-US"/>
              </w:rPr>
            </w:pPr>
            <w:r>
              <w:rPr>
                <w:rFonts w:eastAsiaTheme="minorHAnsi"/>
                <w:sz w:val="24"/>
                <w:szCs w:val="28"/>
                <w:lang w:val="vi-VN" w:eastAsia="en-US"/>
              </w:rPr>
              <w:t>Văn bản số 1083/UBND-VHXH  ngày 14/5/2026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Mức chi cho các giải đấu thể thao nên điều chỉnh tăng thêm mỗi đối tượng 20.000 đồng để phù hợp với việc tăng lương trong thời gian tới.</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Việc xây dựng mức chi cấp tỉnh thấp hơn của trung ương (tương đương 85%) và cấp xã thấp hơn mức chi cấp tỉnh (tương đương 85%) nhằm phân định rõ về tính chất, quy mô, hình thức và yêu cầu nhiệm vụ của từng cấp.</w:t>
            </w:r>
          </w:p>
          <w:p>
            <w:pPr>
              <w:spacing w:after="0"/>
              <w:rPr>
                <w:rFonts w:eastAsiaTheme="minorHAnsi"/>
                <w:sz w:val="24"/>
                <w:szCs w:val="28"/>
                <w:lang w:val="vi-VN" w:eastAsia="en-US"/>
              </w:rPr>
            </w:pP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Xã Tiên Điền</w:t>
            </w:r>
          </w:p>
          <w:p>
            <w:pPr>
              <w:spacing w:after="0"/>
              <w:rPr>
                <w:rFonts w:eastAsiaTheme="minorHAnsi"/>
                <w:sz w:val="24"/>
                <w:szCs w:val="28"/>
                <w:lang w:val="vi-VN" w:eastAsia="en-US"/>
              </w:rPr>
            </w:pPr>
            <w:r>
              <w:rPr>
                <w:rFonts w:eastAsiaTheme="minorHAnsi"/>
                <w:sz w:val="24"/>
                <w:szCs w:val="28"/>
                <w:lang w:val="vi-VN" w:eastAsia="en-US"/>
              </w:rPr>
              <w:t>Văn bản số 2754/UBND-VHXH  ngày 20/5/2026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Tăng mức chi tại Mục 5. Công an, nhân viên y tế, nhân viên phục vụ, lực lượng làm nhiệm vụ trật tự, bảo vệ lên 150.000 đồng</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Giữ mức chi cấp tỉnh tương đương 85% trung ương và cấp xã tương đương 85% mức chi cấp tỉnh là phù hợp tình hình chung; nếu tăng như đề xuất ở bên là vượt mức chi các giải trung ương thì sẽ không phù hợp.</w:t>
            </w: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Phường Trần Phú</w:t>
            </w:r>
          </w:p>
          <w:p>
            <w:pPr>
              <w:spacing w:after="0"/>
              <w:rPr>
                <w:rFonts w:eastAsiaTheme="minorHAnsi"/>
                <w:sz w:val="24"/>
                <w:szCs w:val="28"/>
                <w:lang w:val="vi-VN" w:eastAsia="en-US"/>
              </w:rPr>
            </w:pPr>
            <w:r>
              <w:rPr>
                <w:rFonts w:eastAsiaTheme="minorHAnsi"/>
                <w:sz w:val="24"/>
                <w:szCs w:val="28"/>
                <w:lang w:val="vi-VN" w:eastAsia="en-US"/>
              </w:rPr>
              <w:t>Văn bản số 991/UBND-VHXH  ngày 23/5/2026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 Đề nghị tăng mức chi đối với lực lượng phục vụ, y tế, bảo vệ cấp xã vì mức 70.000 đồng còn thấp chưa phù hợp với điều kiện thực tế hiện nay.</w:t>
            </w:r>
          </w:p>
          <w:p>
            <w:pPr>
              <w:spacing w:after="0"/>
              <w:ind w:firstLine="34"/>
              <w:rPr>
                <w:rFonts w:eastAsiaTheme="minorHAnsi"/>
                <w:sz w:val="24"/>
                <w:szCs w:val="28"/>
                <w:lang w:val="vi-VN" w:eastAsia="en-US"/>
              </w:rPr>
            </w:pPr>
            <w:r>
              <w:rPr>
                <w:rFonts w:eastAsiaTheme="minorHAnsi"/>
                <w:sz w:val="24"/>
                <w:szCs w:val="28"/>
                <w:lang w:val="vi-VN" w:eastAsia="en-US"/>
              </w:rPr>
              <w:t>- Đề nghị xem xét tăng mức chi đối với lực lượng giám sát, trọng tài chính cấp xã vì mức 170.000 đồng là quá thấp so với mặt bằng chung hiện nay nay</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Việc xây dựng mức chi cấp tỉnh thấp hơn của trung ương (tương đương 85%) và cấp xã thấp hơn mức chi cấp tỉnh (tương đương 85%) nhằm phân định rõ về tính chất, quy mô, hình thức và yêu cầu nhiệm vụ của từng cấp.</w:t>
            </w:r>
          </w:p>
          <w:p>
            <w:pPr>
              <w:spacing w:after="0"/>
              <w:rPr>
                <w:rFonts w:eastAsiaTheme="minorHAnsi"/>
                <w:sz w:val="24"/>
                <w:szCs w:val="28"/>
                <w:lang w:val="vi-VN" w:eastAsia="en-US"/>
              </w:rPr>
            </w:pP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Xã Sơn Giang</w:t>
            </w:r>
          </w:p>
          <w:p>
            <w:pPr>
              <w:spacing w:after="0"/>
              <w:rPr>
                <w:rFonts w:eastAsiaTheme="minorHAnsi"/>
                <w:sz w:val="24"/>
                <w:szCs w:val="28"/>
                <w:lang w:val="vi-VN" w:eastAsia="en-US"/>
              </w:rPr>
            </w:pPr>
            <w:r>
              <w:rPr>
                <w:rFonts w:eastAsiaTheme="minorHAnsi"/>
                <w:sz w:val="24"/>
                <w:szCs w:val="28"/>
                <w:lang w:val="vi-VN" w:eastAsia="en-US"/>
              </w:rPr>
              <w:t>Văn bản số 679/UBND-VHXH  ngày 23/5/2026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1. Về đối tượng áp dụng: Đề nghị bổ sung rõ đối tượng là Trưởng đoàn các đoàn vận động viên đại diện cho các xã, phường, thị trấn khi tham gia các giải thi đấu thể thao cấp tỉnh vào danh mục đối tượng được hưởng chế độ hỗ trợ.</w:t>
            </w:r>
          </w:p>
          <w:p>
            <w:pPr>
              <w:spacing w:after="0"/>
              <w:ind w:firstLine="34"/>
              <w:rPr>
                <w:rFonts w:eastAsiaTheme="minorHAnsi"/>
                <w:sz w:val="24"/>
                <w:szCs w:val="28"/>
                <w:lang w:val="vi-VN" w:eastAsia="en-US"/>
              </w:rPr>
            </w:pPr>
            <w:r>
              <w:rPr>
                <w:rFonts w:eastAsiaTheme="minorHAnsi"/>
                <w:sz w:val="24"/>
                <w:szCs w:val="28"/>
                <w:lang w:val="vi-VN" w:eastAsia="en-US"/>
              </w:rPr>
              <w:t>2. Về mức chi hỗ trợ: Trong dự thảo hiện tại, mức chi cho Trưởng ban, Phó Trưởng ban và thành viên Ban tổ chức cấp tỉnh đang đề xuất là 200.000 đồng/người/ngày. Tuy nhiên, đối với chức danh Trưởng đoàn đại diện cấp xã đi tham gia giải cấp tỉnh, đây là người chịu trách nhiệm chính về quản lý vận động viên, điều hành các hoạt động của đoàn trong suốt thời gian diễn ra giải đấu tại tỉnh lại chưa có.</w:t>
            </w:r>
          </w:p>
          <w:p>
            <w:pPr>
              <w:spacing w:after="0"/>
              <w:ind w:firstLine="34"/>
              <w:rPr>
                <w:rFonts w:eastAsiaTheme="minorHAnsi"/>
                <w:sz w:val="24"/>
                <w:szCs w:val="28"/>
                <w:lang w:val="vi-VN" w:eastAsia="en-US"/>
              </w:rPr>
            </w:pPr>
            <w:r>
              <w:rPr>
                <w:rFonts w:eastAsiaTheme="minorHAnsi"/>
                <w:sz w:val="24"/>
                <w:szCs w:val="28"/>
                <w:lang w:val="vi-VN" w:eastAsia="en-US"/>
              </w:rPr>
              <w:t>Đề nghị xem xét quy định mức chi riêng cho đối tượng này đảm bảo sát với thực tế, vì các lý do sau:</w:t>
            </w:r>
          </w:p>
          <w:p>
            <w:pPr>
              <w:spacing w:after="0"/>
              <w:ind w:firstLine="34"/>
              <w:rPr>
                <w:rFonts w:eastAsiaTheme="minorHAnsi"/>
                <w:sz w:val="24"/>
                <w:szCs w:val="28"/>
                <w:lang w:val="vi-VN" w:eastAsia="en-US"/>
              </w:rPr>
            </w:pPr>
            <w:r>
              <w:rPr>
                <w:rFonts w:eastAsiaTheme="minorHAnsi"/>
                <w:sz w:val="24"/>
                <w:szCs w:val="28"/>
                <w:lang w:val="vi-VN" w:eastAsia="en-US"/>
              </w:rPr>
              <w:lastRenderedPageBreak/>
              <w:t>Giá cả dịch vụ tăng cao: Hiện nay giá cả dịch vụ ăn, ở, đi lại thực tế tại trung tâm tỉnh (nơi thường tổ chức các giải cấp tỉnh) đã tăng cao so với trước đây.</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lastRenderedPageBreak/>
              <w:t xml:space="preserve">Trưởng đoàn, vận động viên không thuộc đối tượng tham gia làm nhiệm vụ tổ chức giải đấu của địa phương nên không quy định tại Nghị quyết này. </w:t>
            </w: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Đối với chức danh Trưởng đoàn đại diện cấp xã đi tham gia giải cấp tỉnhthực hiện theo Nghị quyết số 70/2017/NQ-HĐND ngày 13 tháng 12 năm 2017 của Hội đồng nhân dân tỉnh Hà Tĩnh quy định chế độ công tác phí, chế độ hội nghị được sửa đổi, bổ sung bởi Nghị quyết số 156/2025/NQ-HĐND ngày 24 tháng 7 năm 2025.</w:t>
            </w: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Xã Việt Xuyên</w:t>
            </w:r>
          </w:p>
          <w:p>
            <w:pPr>
              <w:spacing w:after="0"/>
              <w:rPr>
                <w:rFonts w:eastAsiaTheme="minorHAnsi"/>
                <w:sz w:val="24"/>
                <w:szCs w:val="28"/>
                <w:lang w:val="vi-VN" w:eastAsia="en-US"/>
              </w:rPr>
            </w:pPr>
            <w:r>
              <w:rPr>
                <w:rFonts w:eastAsiaTheme="minorHAnsi"/>
                <w:sz w:val="24"/>
                <w:szCs w:val="28"/>
                <w:lang w:val="vi-VN" w:eastAsia="en-US"/>
              </w:rPr>
              <w:t>Văn bản số 195/BC-UBND ngày 23/5/2026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 xml:space="preserve">Tại Điều 2, Khoản 1, Mục 7 dự thảo Nghị quyết quy định mức chi trọng tài chính, trợ lý trọng tài, giám sát môn bóng đá, futsal theo đơn vị “đồng/người/buổi”. UBND xã Việt Xuyên nhận thấy: Thực tế tổ chức các giải bóng đá tại cơ sở, một “buổi” có thể diễn ra 01 trận, 02 trận hoặc nhiều trận, tùy số lượng đội và lịch thi đấu. Nếu áp dụng mức chi theo buổi, khi lập dự toán và thanh quyết toán sẽ phát sinh vướng mắc, do khó xác định chính xác một buổi tương ứng bao nhiêu trận, dễ dẫn đến thiếu căn cứ, gây khó khăn cho địa phương trong tổ chức thực hiện. </w:t>
            </w:r>
          </w:p>
          <w:p>
            <w:pPr>
              <w:spacing w:after="0"/>
              <w:ind w:firstLine="34"/>
              <w:rPr>
                <w:rFonts w:eastAsiaTheme="minorHAnsi"/>
                <w:sz w:val="24"/>
                <w:szCs w:val="28"/>
                <w:lang w:val="vi-VN" w:eastAsia="en-US"/>
              </w:rPr>
            </w:pPr>
            <w:r>
              <w:rPr>
                <w:rFonts w:eastAsiaTheme="minorHAnsi"/>
                <w:sz w:val="24"/>
                <w:szCs w:val="28"/>
                <w:lang w:val="vi-VN" w:eastAsia="en-US"/>
              </w:rPr>
              <w:t xml:space="preserve">Đề nghị Quy định mức chi cho trọng tài, giám sát môn bóng đá, futsal theo “trận” (đồng/người/trận) thay vì theo “buổi”. Trường hợp vẫn giữ theo “buổi”, đề nghị bổ sung quy định quy đổi rõ ràng, ví dụ: 01 buổi = tối đa … trận; hoặc mức chi theo buổi áp dụng trong trường hợp buổi thi đấu chỉ tổ chức … trận, nếu phát sinh thêm trận thì tính bổ sung theo hệ số/định mức cụ thể. </w:t>
            </w:r>
          </w:p>
          <w:p>
            <w:pPr>
              <w:spacing w:after="0"/>
              <w:ind w:firstLine="34"/>
              <w:rPr>
                <w:rFonts w:eastAsiaTheme="minorHAnsi"/>
                <w:sz w:val="24"/>
                <w:szCs w:val="28"/>
                <w:lang w:val="vi-VN" w:eastAsia="en-US"/>
              </w:rPr>
            </w:pPr>
            <w:r>
              <w:rPr>
                <w:rFonts w:eastAsiaTheme="minorHAnsi"/>
                <w:sz w:val="24"/>
                <w:szCs w:val="28"/>
                <w:lang w:val="vi-VN" w:eastAsia="en-US"/>
              </w:rPr>
              <w:t>Về phân loại quy mô giải đấu để áp dụng mức chi</w:t>
            </w:r>
          </w:p>
          <w:p>
            <w:pPr>
              <w:spacing w:after="0"/>
              <w:ind w:firstLine="34"/>
              <w:rPr>
                <w:rFonts w:eastAsiaTheme="minorHAnsi"/>
                <w:sz w:val="24"/>
                <w:szCs w:val="28"/>
                <w:lang w:val="vi-VN" w:eastAsia="en-US"/>
              </w:rPr>
            </w:pPr>
            <w:r>
              <w:rPr>
                <w:rFonts w:eastAsiaTheme="minorHAnsi"/>
                <w:sz w:val="24"/>
                <w:szCs w:val="28"/>
                <w:lang w:val="vi-VN" w:eastAsia="en-US"/>
              </w:rPr>
              <w:t>Hiện dự thảo chưa làm rõ sự khác biệt giữa các loại giải (cấp tỉnh, cấp xã, phong trào, bán chuyên…) Nên bổ sung phân nhóm giải đấu (quy mô lớn, vừa, phong trào). Quy định mức chi tương ứng theo từng nhóm, tránh áp dụng một mức chung.</w:t>
            </w:r>
          </w:p>
          <w:p>
            <w:pPr>
              <w:spacing w:after="0"/>
              <w:ind w:firstLine="34"/>
              <w:rPr>
                <w:rFonts w:eastAsiaTheme="minorHAnsi"/>
                <w:sz w:val="24"/>
                <w:szCs w:val="28"/>
                <w:lang w:val="vi-VN" w:eastAsia="en-US"/>
              </w:rPr>
            </w:pPr>
            <w:r>
              <w:rPr>
                <w:rFonts w:eastAsiaTheme="minorHAnsi"/>
                <w:sz w:val="24"/>
                <w:szCs w:val="28"/>
                <w:lang w:val="vi-VN" w:eastAsia="en-US"/>
              </w:rPr>
              <w:t>3. Về chi công tác tổ chức (khánh tiết, truyền thông, trang trí)</w:t>
            </w:r>
          </w:p>
          <w:p>
            <w:pPr>
              <w:spacing w:after="0"/>
              <w:ind w:firstLine="34"/>
              <w:rPr>
                <w:rFonts w:eastAsiaTheme="minorHAnsi"/>
                <w:sz w:val="24"/>
                <w:szCs w:val="28"/>
                <w:lang w:val="vi-VN" w:eastAsia="en-US"/>
              </w:rPr>
            </w:pPr>
            <w:r>
              <w:rPr>
                <w:rFonts w:eastAsiaTheme="minorHAnsi"/>
                <w:sz w:val="24"/>
                <w:szCs w:val="28"/>
                <w:lang w:val="vi-VN" w:eastAsia="en-US"/>
              </w:rPr>
              <w:t>Trên thực tế các giải đều phát sinh: Trang trí sân bãi, băng rôn, cờ phướn; Âm thanh, khai mạc, bế mạc. Truyền thông, tuyên truyền vậy cần bổ sung khung mức chi hoặc nguyên tắc thanh toán tránh tình trạng mỗi nơi làm một kiểu, khó quyết toán.</w:t>
            </w:r>
          </w:p>
          <w:p>
            <w:pPr>
              <w:spacing w:after="0"/>
              <w:ind w:firstLine="34"/>
              <w:rPr>
                <w:rFonts w:eastAsiaTheme="minorHAnsi"/>
                <w:sz w:val="24"/>
                <w:szCs w:val="28"/>
                <w:lang w:val="vi-VN" w:eastAsia="en-US"/>
              </w:rPr>
            </w:pPr>
            <w:r>
              <w:rPr>
                <w:rFonts w:eastAsiaTheme="minorHAnsi"/>
                <w:sz w:val="24"/>
                <w:szCs w:val="28"/>
                <w:lang w:val="vi-VN" w:eastAsia="en-US"/>
              </w:rPr>
              <w:t>4. Về định mức chi giải thưởng</w:t>
            </w:r>
          </w:p>
          <w:p>
            <w:pPr>
              <w:spacing w:after="0"/>
              <w:ind w:firstLine="34"/>
              <w:rPr>
                <w:rFonts w:eastAsiaTheme="minorHAnsi"/>
                <w:sz w:val="24"/>
                <w:szCs w:val="28"/>
                <w:lang w:val="vi-VN" w:eastAsia="en-US"/>
              </w:rPr>
            </w:pPr>
            <w:r>
              <w:rPr>
                <w:rFonts w:eastAsiaTheme="minorHAnsi"/>
                <w:sz w:val="24"/>
                <w:szCs w:val="28"/>
                <w:lang w:val="vi-VN" w:eastAsia="en-US"/>
              </w:rPr>
              <w:t xml:space="preserve">Hiện nhiều địa phương lúng túng khi: Mức thưởng thấp dẫn đến khó tạo động lực hoặc không rõ giới hạn dẫn đến khó phê duyệt. Đề nghị quy định khung mức thưởng </w:t>
            </w:r>
            <w:r>
              <w:rPr>
                <w:rFonts w:eastAsiaTheme="minorHAnsi"/>
                <w:sz w:val="24"/>
                <w:szCs w:val="28"/>
                <w:lang w:val="vi-VN" w:eastAsia="en-US"/>
              </w:rPr>
              <w:lastRenderedPageBreak/>
              <w:t>(tối thiểu – tối đa) theo từng loại giải và cho phép địa phương chủ động trong phạm vi ngân sách</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lastRenderedPageBreak/>
              <w:t>Giải trình:</w:t>
            </w:r>
          </w:p>
          <w:p>
            <w:pPr>
              <w:spacing w:after="0"/>
              <w:rPr>
                <w:rFonts w:eastAsiaTheme="minorHAnsi"/>
                <w:sz w:val="24"/>
                <w:szCs w:val="28"/>
                <w:lang w:val="vi-VN" w:eastAsia="en-US"/>
              </w:rPr>
            </w:pPr>
            <w:r>
              <w:rPr>
                <w:rFonts w:eastAsiaTheme="minorHAnsi"/>
                <w:sz w:val="24"/>
                <w:szCs w:val="28"/>
                <w:lang w:val="vi-VN" w:eastAsia="en-US"/>
              </w:rPr>
              <w:t xml:space="preserve">Việc quy định đơn vị tính theo “đồng/người/buổi” là để thống nhất chung từ cấp trung ương đến cơ sở dựa trên quy định của Thông tư </w:t>
            </w:r>
            <w:bookmarkStart w:id="1" w:name="_Hlk218762154"/>
            <w:r>
              <w:rPr>
                <w:rFonts w:eastAsiaTheme="minorHAnsi"/>
                <w:sz w:val="24"/>
                <w:szCs w:val="28"/>
                <w:lang w:val="vi-VN" w:eastAsia="en-US"/>
              </w:rPr>
              <w:t xml:space="preserve">số 117/2025/TT-BTC </w:t>
            </w:r>
            <w:bookmarkEnd w:id="1"/>
            <w:r>
              <w:rPr>
                <w:rFonts w:eastAsiaTheme="minorHAnsi"/>
                <w:sz w:val="24"/>
                <w:szCs w:val="28"/>
                <w:lang w:val="vi-VN" w:eastAsia="en-US"/>
              </w:rPr>
              <w:t>của Bộ Tài chính</w:t>
            </w: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Quy mô giải đấu dự thảo Nghị quyết xác định theo quy mô cấp tỉnh và cấp xã và đã quy định mức chi tương ứng.</w:t>
            </w: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p>
          <w:p>
            <w:pPr>
              <w:spacing w:after="0"/>
              <w:rPr>
                <w:rFonts w:eastAsiaTheme="minorHAnsi"/>
                <w:sz w:val="24"/>
                <w:szCs w:val="28"/>
                <w:lang w:val="vi-VN" w:eastAsia="en-US"/>
              </w:rPr>
            </w:pPr>
            <w:r>
              <w:rPr>
                <w:rFonts w:eastAsiaTheme="minorHAnsi"/>
                <w:sz w:val="24"/>
                <w:szCs w:val="28"/>
                <w:lang w:val="vi-VN" w:eastAsia="en-US"/>
              </w:rPr>
              <w:t>Nghị quyết này chỉ quy định mức chi cho người làm nhiệm vụ, không quy định chi mua sắm cơ sở vật chất, giải thưởng, do đó, các địa phương tổ chức giải tự cân đối kinh phí đảm bảo giải thưởng theo điều kiện thực tế và việc mua sắm, thanh quyết toán thực hiện theo quy định của pháp luật</w:t>
            </w:r>
          </w:p>
          <w:p>
            <w:pPr>
              <w:spacing w:after="0"/>
              <w:rPr>
                <w:rFonts w:eastAsiaTheme="minorHAnsi"/>
                <w:sz w:val="24"/>
                <w:szCs w:val="28"/>
                <w:lang w:val="vi-VN" w:eastAsia="en-US"/>
              </w:rPr>
            </w:pPr>
          </w:p>
          <w:p>
            <w:pPr>
              <w:spacing w:after="0"/>
              <w:rPr>
                <w:rFonts w:eastAsiaTheme="minorHAnsi"/>
                <w:sz w:val="24"/>
                <w:szCs w:val="28"/>
                <w:lang w:val="vi-VN" w:eastAsia="en-US"/>
              </w:rPr>
            </w:pPr>
          </w:p>
        </w:tc>
      </w:tr>
      <w:tr>
        <w:trPr>
          <w:trHeight w:val="138"/>
        </w:trP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Xã Thiên Cầm</w:t>
            </w:r>
          </w:p>
          <w:p>
            <w:pPr>
              <w:spacing w:after="0"/>
              <w:rPr>
                <w:rFonts w:eastAsiaTheme="minorHAnsi"/>
                <w:sz w:val="24"/>
                <w:szCs w:val="28"/>
                <w:lang w:val="vi-VN" w:eastAsia="en-US"/>
              </w:rPr>
            </w:pPr>
            <w:r>
              <w:rPr>
                <w:rFonts w:eastAsiaTheme="minorHAnsi"/>
                <w:sz w:val="24"/>
                <w:szCs w:val="28"/>
                <w:lang w:val="vi-VN" w:eastAsia="en-US"/>
              </w:rPr>
              <w:t>Văn bản số 1015/UBND-VHXH  ngày 22/5/2026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Đề nghị tăng mức chi tại các điểm 2, 5, 6 khoản 1 Điều 2 dự thảo Nghị quyết</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Mức chi trong dự thảo đảm bảo tương đương 85% trung ương và cấp xã tương đương 85% mức chi cấp tỉnh là phù hợp tình hình chung</w:t>
            </w: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Phường Hà Huy Tập</w:t>
            </w:r>
          </w:p>
          <w:p>
            <w:pPr>
              <w:spacing w:after="0"/>
              <w:rPr>
                <w:rFonts w:eastAsiaTheme="minorHAnsi"/>
                <w:sz w:val="24"/>
                <w:szCs w:val="28"/>
                <w:lang w:val="vi-VN" w:eastAsia="en-US"/>
              </w:rPr>
            </w:pPr>
            <w:r>
              <w:rPr>
                <w:rFonts w:eastAsiaTheme="minorHAnsi"/>
                <w:sz w:val="24"/>
                <w:szCs w:val="28"/>
                <w:lang w:val="vi-VN" w:eastAsia="en-US"/>
              </w:rPr>
              <w:t>Văn bản số 1001/UBND-VHXH  ngày 25/5/2026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Đề nghị tăng mức chi tại đểm 3 và điểm 5 khoản 1 Điều 2 dự thảo Nghị quyết</w:t>
            </w:r>
          </w:p>
          <w:p>
            <w:pPr>
              <w:spacing w:after="0"/>
              <w:ind w:firstLine="34"/>
              <w:rPr>
                <w:rFonts w:eastAsiaTheme="minorHAnsi"/>
                <w:sz w:val="24"/>
                <w:szCs w:val="28"/>
                <w:lang w:val="vi-VN" w:eastAsia="en-US"/>
              </w:rPr>
            </w:pPr>
            <w:r>
              <w:rPr>
                <w:rFonts w:eastAsiaTheme="minorHAnsi"/>
                <w:sz w:val="24"/>
                <w:szCs w:val="28"/>
                <w:lang w:val="vi-VN" w:eastAsia="en-US"/>
              </w:rPr>
              <w:t>Bổ sung nội dung chi cho Huấn luyện viên, vận động viên</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Việc xây dựng mức chi cấp tỉnh thấp hơn của trung ương (tương đương 85%) và cấ</w:t>
            </w:r>
            <w:r>
              <w:rPr>
                <w:rFonts w:eastAsiaTheme="minorHAnsi"/>
                <w:sz w:val="24"/>
                <w:szCs w:val="28"/>
                <w:lang w:val="vi-VN" w:eastAsia="en-US"/>
              </w:rPr>
              <w:t xml:space="preserve">p xã </w:t>
            </w:r>
            <w:r>
              <w:rPr>
                <w:rFonts w:eastAsiaTheme="minorHAnsi"/>
                <w:sz w:val="24"/>
                <w:szCs w:val="28"/>
                <w:lang w:val="vi-VN" w:eastAsia="en-US"/>
              </w:rPr>
              <w:t>tương đương 85%</w:t>
            </w:r>
            <w:r>
              <w:rPr>
                <w:rFonts w:eastAsiaTheme="minorHAnsi"/>
                <w:sz w:val="24"/>
                <w:szCs w:val="28"/>
                <w:lang w:val="vi-VN" w:eastAsia="en-US"/>
              </w:rPr>
              <w:t xml:space="preserve"> cấp tỉnh </w:t>
            </w:r>
            <w:r>
              <w:rPr>
                <w:rFonts w:eastAsiaTheme="minorHAnsi"/>
                <w:sz w:val="24"/>
                <w:szCs w:val="28"/>
                <w:lang w:val="vi-VN" w:eastAsia="en-US"/>
              </w:rPr>
              <w:t>nhằm phân định rõ về tính chất, quy mô, hình thức và yêu cầu nhiệm vụ của từng cấp.</w:t>
            </w:r>
          </w:p>
          <w:p>
            <w:pPr>
              <w:spacing w:after="0"/>
              <w:rPr>
                <w:rFonts w:eastAsiaTheme="minorHAnsi"/>
                <w:sz w:val="24"/>
                <w:szCs w:val="28"/>
                <w:lang w:val="vi-VN" w:eastAsia="en-US"/>
              </w:rPr>
            </w:pP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Xã Cẩm Lạc</w:t>
            </w:r>
          </w:p>
          <w:p>
            <w:pPr>
              <w:spacing w:after="0"/>
              <w:rPr>
                <w:rFonts w:eastAsiaTheme="minorHAnsi"/>
                <w:sz w:val="24"/>
                <w:szCs w:val="28"/>
                <w:lang w:val="vi-VN" w:eastAsia="en-US"/>
              </w:rPr>
            </w:pPr>
            <w:r>
              <w:rPr>
                <w:rFonts w:eastAsiaTheme="minorHAnsi"/>
                <w:sz w:val="24"/>
                <w:szCs w:val="28"/>
                <w:lang w:val="vi-VN" w:eastAsia="en-US"/>
              </w:rPr>
              <w:t>Văn bản số 1106/UBND-VHXH  ngày 25/5/2026</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t>Tại Khoản 1, Điều 2. Đối tượng và mức chi đối với cấp xã đề nghị tăng thêm, với mức chi trong Dự thảo  đưa ra còn thấp hơn so với mức chi thực tế hiện nay</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Việc xây dựng mức chi cấp tỉnh thấp hơn của trung ương (tương đương 85%) và cấp xã tương đương 85% cấp tỉnh nhằm phân định rõ về tính chất, quy mô, hình thức và yêu cầu nhiệm vụ của từng cấp.</w:t>
            </w:r>
          </w:p>
          <w:p>
            <w:pPr>
              <w:spacing w:after="0"/>
              <w:rPr>
                <w:rFonts w:eastAsiaTheme="minorHAnsi"/>
                <w:sz w:val="24"/>
                <w:szCs w:val="28"/>
                <w:lang w:val="vi-VN" w:eastAsia="en-US"/>
              </w:rPr>
            </w:pP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Xã Cẩm Hưng</w:t>
            </w:r>
          </w:p>
          <w:p>
            <w:pPr>
              <w:spacing w:after="0"/>
              <w:rPr>
                <w:rFonts w:eastAsiaTheme="minorHAnsi"/>
                <w:sz w:val="24"/>
                <w:szCs w:val="28"/>
                <w:lang w:val="vi-VN" w:eastAsia="en-US"/>
              </w:rPr>
            </w:pPr>
            <w:r>
              <w:rPr>
                <w:rFonts w:eastAsiaTheme="minorHAnsi"/>
                <w:sz w:val="24"/>
                <w:szCs w:val="28"/>
                <w:lang w:val="vi-VN" w:eastAsia="en-US"/>
              </w:rPr>
              <w:t>Văn bản số 893/UBND-VHXH  ngày 25/5/2026</w:t>
            </w:r>
          </w:p>
        </w:tc>
        <w:tc>
          <w:tcPr>
            <w:tcW w:w="5670" w:type="dxa"/>
            <w:shd w:val="clear" w:color="auto" w:fill="auto"/>
          </w:tcPr>
          <w:p>
            <w:pPr>
              <w:spacing w:after="0"/>
              <w:rPr>
                <w:rFonts w:eastAsiaTheme="minorHAnsi"/>
                <w:sz w:val="24"/>
                <w:szCs w:val="28"/>
                <w:lang w:val="vi-VN" w:eastAsia="en-US"/>
              </w:rPr>
            </w:pPr>
            <w:r>
              <w:rPr>
                <w:rFonts w:eastAsiaTheme="minorHAnsi"/>
                <w:sz w:val="24"/>
                <w:szCs w:val="28"/>
                <w:lang w:val="vi-VN" w:eastAsia="en-US"/>
              </w:rPr>
              <w:t>Đề nghị tăng mức chi:</w:t>
            </w:r>
          </w:p>
          <w:p>
            <w:pPr>
              <w:spacing w:after="0"/>
              <w:rPr>
                <w:rFonts w:eastAsiaTheme="minorHAnsi"/>
                <w:sz w:val="24"/>
                <w:szCs w:val="28"/>
                <w:lang w:val="vi-VN" w:eastAsia="en-US"/>
              </w:rPr>
            </w:pPr>
            <w:r>
              <w:rPr>
                <w:rFonts w:eastAsiaTheme="minorHAnsi"/>
                <w:sz w:val="24"/>
                <w:szCs w:val="28"/>
                <w:lang w:val="vi-VN" w:eastAsia="en-US"/>
              </w:rPr>
              <w:t>- Đối với thành viên các tiểu ban chuyên môn cấp xã 150.000/ngày.</w:t>
            </w:r>
          </w:p>
          <w:p>
            <w:pPr>
              <w:spacing w:after="0"/>
              <w:rPr>
                <w:rFonts w:eastAsiaTheme="minorHAnsi"/>
                <w:sz w:val="24"/>
                <w:szCs w:val="28"/>
                <w:lang w:val="vi-VN" w:eastAsia="en-US"/>
              </w:rPr>
            </w:pPr>
            <w:r>
              <w:rPr>
                <w:rFonts w:eastAsiaTheme="minorHAnsi"/>
                <w:sz w:val="24"/>
                <w:szCs w:val="28"/>
                <w:lang w:val="vi-VN" w:eastAsia="en-US"/>
              </w:rPr>
              <w:t xml:space="preserve"> - Đối với Giám sát, trọng tài chính (không bao gồm môn bóng đá và môn futsal) cấp tỉnh, cấp xã 500.000/buổi.</w:t>
            </w:r>
          </w:p>
          <w:p>
            <w:pPr>
              <w:spacing w:after="0"/>
              <w:rPr>
                <w:rFonts w:eastAsiaTheme="minorHAnsi"/>
                <w:sz w:val="24"/>
                <w:szCs w:val="28"/>
                <w:lang w:val="vi-VN" w:eastAsia="en-US"/>
              </w:rPr>
            </w:pPr>
            <w:r>
              <w:rPr>
                <w:rFonts w:eastAsiaTheme="minorHAnsi"/>
                <w:sz w:val="24"/>
                <w:szCs w:val="28"/>
                <w:lang w:val="vi-VN" w:eastAsia="en-US"/>
              </w:rPr>
              <w:t xml:space="preserve"> - Công an, nhân viên y tế, nhân viên phục vụ, lực lượng làm nhiệm vụ trật tự, bảo vệ 100.000/buổi. </w:t>
            </w:r>
          </w:p>
          <w:p>
            <w:pPr>
              <w:spacing w:after="0"/>
              <w:rPr>
                <w:rFonts w:eastAsiaTheme="minorHAnsi"/>
                <w:sz w:val="24"/>
                <w:szCs w:val="28"/>
                <w:lang w:val="vi-VN" w:eastAsia="en-US"/>
              </w:rPr>
            </w:pPr>
            <w:r>
              <w:rPr>
                <w:rFonts w:eastAsiaTheme="minorHAnsi"/>
                <w:sz w:val="24"/>
                <w:szCs w:val="28"/>
                <w:lang w:val="vi-VN" w:eastAsia="en-US"/>
              </w:rPr>
              <w:t>- Người tham gia đồng diễn, điều hành, xếp hình, xếp chữ (đối với các Đại hội thể dục thể thao, Hội khỏe Phù Đổng) cấp tỉnh và xã: đối với tổng duyệt 100.000/buổi, đối với chính thức 150.000/buổi.</w:t>
            </w:r>
          </w:p>
          <w:p>
            <w:pPr>
              <w:spacing w:after="0"/>
              <w:rPr>
                <w:rFonts w:eastAsiaTheme="minorHAnsi"/>
                <w:sz w:val="24"/>
                <w:szCs w:val="28"/>
                <w:lang w:val="vi-VN" w:eastAsia="en-US"/>
              </w:rPr>
            </w:pPr>
            <w:r>
              <w:rPr>
                <w:rFonts w:eastAsiaTheme="minorHAnsi"/>
                <w:sz w:val="24"/>
                <w:szCs w:val="28"/>
                <w:lang w:val="vi-VN" w:eastAsia="en-US"/>
              </w:rPr>
              <w:t xml:space="preserve"> - Trọng tài chính Giải bóng đá nam, nữ (cấp tỉnh, xã) đề xuất tính theo trận đấu với mức 250.000/trận. </w:t>
            </w:r>
          </w:p>
          <w:p>
            <w:pPr>
              <w:spacing w:after="0"/>
              <w:ind w:firstLine="34"/>
              <w:rPr>
                <w:rFonts w:eastAsiaTheme="minorHAnsi"/>
                <w:sz w:val="24"/>
                <w:szCs w:val="28"/>
                <w:lang w:val="vi-VN" w:eastAsia="en-US"/>
              </w:rPr>
            </w:pPr>
            <w:r>
              <w:rPr>
                <w:rFonts w:eastAsiaTheme="minorHAnsi"/>
                <w:sz w:val="24"/>
                <w:szCs w:val="28"/>
                <w:lang w:val="vi-VN" w:eastAsia="en-US"/>
              </w:rPr>
              <w:t>- Trợ lý trọng tài, giám sát Giải bóng đá nam, nữ (cấp tỉnh, xã) đề xuất tính theo trận đấu với mức 100.000/trận.</w:t>
            </w:r>
          </w:p>
        </w:tc>
        <w:tc>
          <w:tcPr>
            <w:tcW w:w="5386" w:type="dxa"/>
            <w:shd w:val="clear" w:color="auto" w:fill="auto"/>
          </w:tcPr>
          <w:p>
            <w:pPr>
              <w:spacing w:after="0"/>
              <w:rPr>
                <w:rFonts w:eastAsiaTheme="minorHAnsi"/>
                <w:sz w:val="24"/>
                <w:szCs w:val="28"/>
                <w:lang w:val="vi-VN" w:eastAsia="en-US"/>
              </w:rPr>
            </w:pPr>
            <w:r>
              <w:rPr>
                <w:rFonts w:eastAsiaTheme="minorHAnsi"/>
                <w:sz w:val="24"/>
                <w:szCs w:val="28"/>
                <w:lang w:val="vi-VN" w:eastAsia="en-US"/>
              </w:rPr>
              <w:t>- Việc xây dựng mức chi cấp tỉnh thấp hơn của trung ương (tương đương 85%) và cấp xã tương đương 85% cấp tỉnh nhằm phân định rõ về tính chất, quy mô, hình thức và yêu cầu nhiệm vụ của từng cấp.</w:t>
            </w:r>
          </w:p>
          <w:p>
            <w:pPr>
              <w:spacing w:after="0"/>
              <w:rPr>
                <w:rFonts w:eastAsiaTheme="minorHAnsi"/>
                <w:sz w:val="24"/>
                <w:szCs w:val="28"/>
                <w:lang w:val="vi-VN" w:eastAsia="en-US"/>
              </w:rPr>
            </w:pPr>
            <w:bookmarkStart w:id="2" w:name="_GoBack"/>
            <w:bookmarkEnd w:id="2"/>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sz w:val="24"/>
                <w:szCs w:val="28"/>
                <w:lang w:val="vi-VN" w:eastAsia="en-US"/>
              </w:rPr>
            </w:pPr>
            <w:r>
              <w:rPr>
                <w:rFonts w:eastAsiaTheme="minorHAnsi"/>
                <w:sz w:val="24"/>
                <w:szCs w:val="28"/>
                <w:lang w:val="vi-VN" w:eastAsia="en-US"/>
              </w:rPr>
              <w:t xml:space="preserve">Các xã: Thạch Hà, Kỳ Văn, Thạch Lạc; Kỳ Khang; Đạn Hải; Hồng Lộc; Đức Thịnh; Mai Phụ; Kỳ Anh; Toàn Lưu; Hà Linh; Can Lộc; Sơn Hồng; Đồng Tiến; Đức Minh; </w:t>
            </w:r>
            <w:r>
              <w:rPr>
                <w:rFonts w:eastAsiaTheme="minorHAnsi"/>
                <w:sz w:val="24"/>
                <w:szCs w:val="28"/>
                <w:lang w:val="vi-VN" w:eastAsia="en-US"/>
              </w:rPr>
              <w:lastRenderedPageBreak/>
              <w:t>Đồng Lộc; Đông Kinh; Hương Phố; Cẩm Trung; Hương Sơn</w:t>
            </w:r>
          </w:p>
        </w:tc>
        <w:tc>
          <w:tcPr>
            <w:tcW w:w="5670" w:type="dxa"/>
            <w:shd w:val="clear" w:color="auto" w:fill="auto"/>
          </w:tcPr>
          <w:p>
            <w:pPr>
              <w:spacing w:after="0"/>
              <w:ind w:firstLine="34"/>
              <w:rPr>
                <w:rFonts w:eastAsiaTheme="minorHAnsi"/>
                <w:sz w:val="24"/>
                <w:szCs w:val="28"/>
                <w:lang w:val="vi-VN" w:eastAsia="en-US"/>
              </w:rPr>
            </w:pPr>
            <w:r>
              <w:rPr>
                <w:rFonts w:eastAsiaTheme="minorHAnsi"/>
                <w:sz w:val="24"/>
                <w:szCs w:val="28"/>
                <w:lang w:val="vi-VN" w:eastAsia="en-US"/>
              </w:rPr>
              <w:lastRenderedPageBreak/>
              <w:t xml:space="preserve">       Có văn bản đồng ý với dự thảo</w:t>
            </w:r>
          </w:p>
        </w:tc>
        <w:tc>
          <w:tcPr>
            <w:tcW w:w="5386" w:type="dxa"/>
            <w:shd w:val="clear" w:color="auto" w:fill="auto"/>
          </w:tcPr>
          <w:p>
            <w:pPr>
              <w:spacing w:after="0"/>
              <w:rPr>
                <w:rFonts w:eastAsiaTheme="minorHAnsi"/>
                <w:sz w:val="24"/>
                <w:szCs w:val="28"/>
                <w:lang w:val="vi-VN" w:eastAsia="en-US"/>
              </w:rPr>
            </w:pPr>
          </w:p>
        </w:tc>
      </w:tr>
      <w:tr>
        <w:tc>
          <w:tcPr>
            <w:tcW w:w="1555" w:type="dxa"/>
          </w:tcPr>
          <w:p>
            <w:pPr>
              <w:spacing w:after="0"/>
              <w:rPr>
                <w:rFonts w:eastAsiaTheme="minorHAnsi"/>
                <w:sz w:val="24"/>
                <w:szCs w:val="28"/>
                <w:lang w:val="vi-VN" w:eastAsia="en-US"/>
              </w:rPr>
            </w:pPr>
          </w:p>
        </w:tc>
        <w:tc>
          <w:tcPr>
            <w:tcW w:w="2835" w:type="dxa"/>
            <w:shd w:val="clear" w:color="auto" w:fill="auto"/>
            <w:vAlign w:val="center"/>
          </w:tcPr>
          <w:p>
            <w:pPr>
              <w:spacing w:after="0"/>
              <w:rPr>
                <w:rFonts w:eastAsiaTheme="minorHAnsi"/>
                <w:b/>
                <w:sz w:val="24"/>
                <w:szCs w:val="28"/>
                <w:lang w:val="vi-VN" w:eastAsia="en-US"/>
              </w:rPr>
            </w:pPr>
            <w:r>
              <w:rPr>
                <w:rFonts w:eastAsiaTheme="minorHAnsi"/>
                <w:b/>
                <w:sz w:val="24"/>
                <w:szCs w:val="28"/>
                <w:lang w:val="vi-VN" w:eastAsia="en-US"/>
              </w:rPr>
              <w:t xml:space="preserve">Trung tâm Công báo tin học </w:t>
            </w:r>
          </w:p>
          <w:p>
            <w:pPr>
              <w:spacing w:after="0"/>
              <w:rPr>
                <w:rFonts w:eastAsiaTheme="minorHAnsi"/>
                <w:sz w:val="24"/>
                <w:szCs w:val="28"/>
                <w:lang w:val="vi-VN" w:eastAsia="en-US"/>
              </w:rPr>
            </w:pPr>
            <w:r>
              <w:rPr>
                <w:rFonts w:eastAsiaTheme="minorHAnsi"/>
                <w:sz w:val="24"/>
                <w:szCs w:val="28"/>
                <w:lang w:val="vi-VN" w:eastAsia="en-US"/>
              </w:rPr>
              <w:t>Văn bản số 105/CBTH-HC ngày 25/5/2026</w:t>
            </w:r>
          </w:p>
        </w:tc>
        <w:tc>
          <w:tcPr>
            <w:tcW w:w="5670" w:type="dxa"/>
            <w:shd w:val="clear" w:color="auto" w:fill="auto"/>
          </w:tcPr>
          <w:p>
            <w:pPr>
              <w:spacing w:after="0" w:line="320" w:lineRule="atLeast"/>
              <w:jc w:val="both"/>
              <w:rPr>
                <w:rFonts w:eastAsiaTheme="minorHAnsi"/>
                <w:sz w:val="24"/>
                <w:szCs w:val="28"/>
                <w:lang w:val="vi-VN" w:eastAsia="en-US"/>
              </w:rPr>
            </w:pPr>
            <w:r>
              <w:rPr>
                <w:rFonts w:eastAsiaTheme="minorHAnsi"/>
                <w:sz w:val="24"/>
                <w:szCs w:val="28"/>
                <w:lang w:val="vi-VN" w:eastAsia="en-US"/>
              </w:rPr>
              <w:t xml:space="preserve">Trong quá trình đăng tải thông tin lấy ý kiến theo quy định (từ ngày 13/5/2026 đến ngày 23/5/2026), Cổng Thông tin điện tử tỉnh không nhận được ý kiến đóng góp nào từ các cơ quan, đơn vị, tổ chức và người dân. </w:t>
            </w:r>
          </w:p>
        </w:tc>
        <w:tc>
          <w:tcPr>
            <w:tcW w:w="5386" w:type="dxa"/>
            <w:shd w:val="clear" w:color="auto" w:fill="auto"/>
          </w:tcPr>
          <w:p>
            <w:pPr>
              <w:spacing w:after="0"/>
              <w:rPr>
                <w:rFonts w:eastAsiaTheme="minorHAnsi"/>
                <w:sz w:val="24"/>
                <w:szCs w:val="28"/>
                <w:lang w:val="vi-VN" w:eastAsia="en-US"/>
              </w:rPr>
            </w:pPr>
          </w:p>
        </w:tc>
      </w:tr>
    </w:tbl>
    <w:p>
      <w:pPr>
        <w:rPr>
          <w:rFonts w:eastAsiaTheme="minorHAnsi"/>
          <w:sz w:val="24"/>
          <w:szCs w:val="28"/>
          <w:lang w:val="vi-VN" w:eastAsia="en-US"/>
        </w:rPr>
      </w:pPr>
    </w:p>
    <w:sectPr>
      <w:pgSz w:w="16850" w:h="11910" w:orient="landscape" w:code="9"/>
      <w:pgMar w:top="851" w:right="1134" w:bottom="2" w:left="1134"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inkAnnotations="0"/>
  <w:defaultTabStop w:val="720"/>
  <w:drawingGridHorizontalSpacing w:val="110"/>
  <w:drawingGridVerticalSpacing w:val="299"/>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CACA5B-3093-4D0F-A229-61D108E2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before="0" w:after="0"/>
      <w:jc w:val="left"/>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11</Pages>
  <Words>3764</Words>
  <Characters>21458</Characters>
  <Application>Microsoft Office Word</Application>
  <DocSecurity>0</DocSecurity>
  <Lines>178</Lines>
  <Paragraphs>50</Paragraphs>
  <ScaleCrop>false</ScaleCrop>
  <Company/>
  <LinksUpToDate>false</LinksUpToDate>
  <CharactersWithSpaces>25172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vx</dc:creator>
  <cp:keywords/>
  <dc:description/>
  <cp:lastModifiedBy>vx</cp:lastModifiedBy>
  <cp:revision>15</cp:revision>
  <cp:lastPrinted>2026-06-09T01:58:00Z</cp:lastPrinted>
  <dcterms:created xsi:type="dcterms:W3CDTF">2026-06-07T07:16:00Z</dcterms:created>
  <dcterms:modified xsi:type="dcterms:W3CDTF">2026-06-10T09:11:00Z</dcterms:modified>
</cp:coreProperties>
</file>